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RISK MANAGEMENT PLAN</w:t>
      </w:r>
    </w:p>
    <w:p>
      <w:pPr>
        <w:pStyle w:val="Heading2"/>
      </w:pPr>
      <w:r>
        <w:t xml:space="preserve">Booked Solid Inspector · Outcrop Holdings, Inc.</w:t>
      </w:r>
    </w:p>
    <w:p>
      <w:r>
        <w:rPr>
          <w:i/>
        </w:rPr>
        <w:t xml:space="preserve">Version 1 · 9 August 2026</w:t>
      </w:r>
    </w:p>
    <w:p>
      <w:pPr>
        <w:pBdr>
          <w:bottom w:val="single" w:sz="6" w:color="CCCCCC"/>
        </w:pBdr>
      </w:pPr>
    </w:p>
    <w:p>
      <w:pPr>
        <w:pStyle w:val="Heading2"/>
      </w:pPr>
      <w:r>
        <w:t xml:space="preserve">How this is built</w:t>
      </w:r>
    </w:p>
    <w:p>
      <w:r>
        <w:rPr>
          <w:b/>
        </w:rPr>
        <w:t xml:space="preserve">Every risk here is one this business actually carries.</w:t>
      </w:r>
      <w:r>
        <w:t xml:space="preserve"> No generic categories. Where something has already happened, it says so — and those entries carry more weight than any estimate, because they're evidence rather than speculation.</w:t>
      </w:r>
    </w:p>
    <w:p>
      <w:r>
        <w:rPr>
          <w:b/>
        </w:rPr>
        <w:t xml:space="preserve">Scoring is deliberately simple.</w:t>
      </w:r>
      <w:r>
        <w:t xml:space="preserve"> Precise probability numbers on a pre-revenue business are false confidence.</w:t>
      </w:r>
    </w:p>
    <w:tbl>
      <w:tblPr>
        <w:tblStyle w:val="TableGrid"/>
        <w:tblW w:w="9360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</w:tblPr>
      <w:tr>
        <w:tc>
          <w:tcPr>
            <w:tcW w:w="4680" w:type="dxa"/>
            <w:shd w:val="clear" w:color="auto" w:fill="EEF3F5"/>
          </w:tcPr>
          <w:p>
            <w:r>
              <w:rPr>
                <w:b/>
              </w:rPr>
              <w:t xml:space="preserve">Likelihood</w:t>
            </w:r>
          </w:p>
        </w:tc>
        <w:tc>
          <w:tcPr>
            <w:tcW w:w="4680" w:type="dxa"/>
            <w:shd w:val="clear" w:color="auto" w:fill="EEF3F5"/>
          </w:tcPr>
          <w:p>
            <w:r>
              <w:rPr>
                <w:b/>
              </w:rPr>
              <w:t xml:space="preserve">Meaning</w:t>
            </w:r>
          </w:p>
        </w:tc>
      </w:tr>
      <w:tr>
        <w:tc>
          <w:tcPr>
            <w:tcW w:w="4680" w:type="dxa"/>
          </w:tcPr>
          <w:p>
            <w:r>
              <w:rPr>
                <w:b/>
              </w:rPr>
              <w:t xml:space="preserve">High</w:t>
            </w:r>
          </w:p>
        </w:tc>
        <w:tc>
          <w:tcPr>
            <w:tcW w:w="4680" w:type="dxa"/>
          </w:tcPr>
          <w:p>
            <w:r>
              <w:t xml:space="preserve">Has happened, or will happen at 500 clients</w:t>
            </w:r>
          </w:p>
        </w:tc>
      </w:tr>
      <w:tr>
        <w:tc>
          <w:tcPr>
            <w:tcW w:w="4680" w:type="dxa"/>
          </w:tcPr>
          <w:p>
            <w:r>
              <w:rPr>
                <w:b/>
              </w:rPr>
              <w:t xml:space="preserve">Medium</w:t>
            </w:r>
          </w:p>
        </w:tc>
        <w:tc>
          <w:tcPr>
            <w:tcW w:w="4680" w:type="dxa"/>
          </w:tcPr>
          <w:p>
            <w:r>
              <w:t xml:space="preserve">Plausible within twelve months</w:t>
            </w:r>
          </w:p>
        </w:tc>
      </w:tr>
      <w:tr>
        <w:tc>
          <w:tcPr>
            <w:tcW w:w="4680" w:type="dxa"/>
          </w:tcPr>
          <w:p>
            <w:r>
              <w:rPr>
                <w:b/>
              </w:rPr>
              <w:t xml:space="preserve">Low</w:t>
            </w:r>
          </w:p>
        </w:tc>
        <w:tc>
          <w:tcPr>
            <w:tcW w:w="4680" w:type="dxa"/>
          </w:tcPr>
          <w:p>
            <w:r>
              <w:t xml:space="preserve">Possible, not expected</w:t>
            </w:r>
          </w:p>
        </w:tc>
      </w:tr>
    </w:tbl>
    <w:p>
      <w:r>
        <w:t xml:space="preserve"/>
      </w:r>
    </w:p>
    <w:tbl>
      <w:tblPr>
        <w:tblStyle w:val="TableGrid"/>
        <w:tblW w:w="9360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</w:tblPr>
      <w:tr>
        <w:tc>
          <w:tcPr>
            <w:tcW w:w="4680" w:type="dxa"/>
            <w:shd w:val="clear" w:color="auto" w:fill="EEF3F5"/>
          </w:tcPr>
          <w:p>
            <w:r>
              <w:rPr>
                <w:b/>
              </w:rPr>
              <w:t xml:space="preserve">Impact</w:t>
            </w:r>
          </w:p>
        </w:tc>
        <w:tc>
          <w:tcPr>
            <w:tcW w:w="4680" w:type="dxa"/>
            <w:shd w:val="clear" w:color="auto" w:fill="EEF3F5"/>
          </w:tcPr>
          <w:p>
            <w:r>
              <w:rPr>
                <w:b/>
              </w:rPr>
              <w:t xml:space="preserve">Meaning</w:t>
            </w:r>
          </w:p>
        </w:tc>
      </w:tr>
      <w:tr>
        <w:tc>
          <w:tcPr>
            <w:tcW w:w="4680" w:type="dxa"/>
          </w:tcPr>
          <w:p>
            <w:r>
              <w:rPr>
                <w:b/>
              </w:rPr>
              <w:t xml:space="preserve">Severe</w:t>
            </w:r>
          </w:p>
        </w:tc>
        <w:tc>
          <w:tcPr>
            <w:tcW w:w="4680" w:type="dxa"/>
          </w:tcPr>
          <w:p>
            <w:r>
              <w:t xml:space="preserve">Threatens the business</w:t>
            </w:r>
          </w:p>
        </w:tc>
      </w:tr>
      <w:tr>
        <w:tc>
          <w:tcPr>
            <w:tcW w:w="4680" w:type="dxa"/>
          </w:tcPr>
          <w:p>
            <w:r>
              <w:rPr>
                <w:b/>
              </w:rPr>
              <w:t xml:space="preserve">Major</w:t>
            </w:r>
          </w:p>
        </w:tc>
        <w:tc>
          <w:tcPr>
            <w:tcW w:w="4680" w:type="dxa"/>
          </w:tcPr>
          <w:p>
            <w:r>
              <w:t xml:space="preserve">Costs real money or a material number of clients</w:t>
            </w:r>
          </w:p>
        </w:tc>
      </w:tr>
      <w:tr>
        <w:tc>
          <w:tcPr>
            <w:tcW w:w="4680" w:type="dxa"/>
          </w:tcPr>
          <w:p>
            <w:r>
              <w:rPr>
                <w:b/>
              </w:rPr>
              <w:t xml:space="preserve">Moderate</w:t>
            </w:r>
          </w:p>
        </w:tc>
        <w:tc>
          <w:tcPr>
            <w:tcW w:w="4680" w:type="dxa"/>
          </w:tcPr>
          <w:p>
            <w:r>
              <w:t xml:space="preserve">Costs a client, a day, or a relationship</w:t>
            </w:r>
          </w:p>
        </w:tc>
      </w:tr>
      <w:tr>
        <w:tc>
          <w:tcPr>
            <w:tcW w:w="4680" w:type="dxa"/>
          </w:tcPr>
          <w:p>
            <w:r>
              <w:rPr>
                <w:b/>
              </w:rPr>
              <w:t xml:space="preserve">Minor</w:t>
            </w:r>
          </w:p>
        </w:tc>
        <w:tc>
          <w:tcPr>
            <w:tcW w:w="4680" w:type="dxa"/>
          </w:tcPr>
          <w:p>
            <w:r>
              <w:t xml:space="preserve">Absorbed in normal operation</w:t>
            </w:r>
          </w:p>
        </w:tc>
      </w:tr>
    </w:tbl>
    <w:p>
      <w:r>
        <w:t xml:space="preserve"/>
      </w:r>
    </w:p>
    <w:p>
      <w:r>
        <w:rPr>
          <w:b/>
        </w:rPr>
        <w:t xml:space="preserve">Four treatments:</w:t>
      </w:r>
      <w:r>
        <w:t xml:space="preserve"> </w:t>
      </w:r>
      <w:r>
        <w:rPr>
          <w:b/>
        </w:rPr>
        <w:t xml:space="preserve">Avoid</w:t>
      </w:r>
      <w:r>
        <w:t xml:space="preserve"> </w:t>
      </w:r>
      <w:r>
        <w:rPr>
          <w:i/>
        </w:rPr>
        <w:t xml:space="preserve">(don't do the thing)</w:t>
      </w:r>
      <w:r>
        <w:t xml:space="preserve"> · </w:t>
      </w:r>
      <w:r>
        <w:rPr>
          <w:b/>
        </w:rPr>
        <w:t xml:space="preserve">Reduce</w:t>
      </w:r>
      <w:r>
        <w:t xml:space="preserve"> </w:t>
      </w:r>
      <w:r>
        <w:rPr>
          <w:i/>
        </w:rPr>
        <w:t xml:space="preserve">(controls)</w:t>
      </w:r>
      <w:r>
        <w:t xml:space="preserve"> · </w:t>
      </w:r>
      <w:r>
        <w:rPr>
          <w:b/>
        </w:rPr>
        <w:t xml:space="preserve">Transfer</w:t>
      </w:r>
      <w:r>
        <w:t xml:space="preserve"> </w:t>
      </w:r>
      <w:r>
        <w:rPr>
          <w:i/>
        </w:rPr>
        <w:t xml:space="preserve">(insurance or contract)</w:t>
      </w:r>
      <w:r>
        <w:t xml:space="preserve"> · </w:t>
      </w:r>
      <w:r>
        <w:rPr>
          <w:b/>
        </w:rPr>
        <w:t xml:space="preserve">Accept</w:t>
      </w:r>
      <w:r>
        <w:t xml:space="preserve"> </w:t>
      </w:r>
      <w:r>
        <w:rPr>
          <w:i/>
        </w:rPr>
        <w:t xml:space="preserve">(watch it)</w:t>
      </w:r>
    </w:p>
    <w:p>
      <w:pPr>
        <w:pBdr>
          <w:bottom w:val="single" w:sz="6" w:color="CCCCCC"/>
        </w:pBdr>
      </w:pPr>
    </w:p>
    <w:p>
      <w:pPr>
        <w:pStyle w:val="Heading1"/>
      </w:pPr>
      <w:r>
        <w:t xml:space="preserve">PART 1 — What has already gone wrong</w:t>
      </w:r>
    </w:p>
    <w:p>
      <w:r>
        <w:rPr>
          <w:b/>
        </w:rPr>
        <w:t xml:space="preserve">This section exists because it is the most honest part of the document.</w:t>
      </w:r>
    </w:p>
    <w:tbl>
      <w:tblPr>
        <w:tblStyle w:val="TableGrid"/>
        <w:tblW w:w="9360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</w:tblPr>
      <w:tr>
        <w:tc>
          <w:tcPr>
            <w:tcW w:w="2340" w:type="dxa"/>
            <w:shd w:val="clear" w:color="auto" w:fill="EEF3F5"/>
          </w:tcPr>
          <w:p>
            <w:r>
              <w:rPr>
                <w:b/>
              </w:rPr>
              <w:t xml:space="preserve">\#</w:t>
            </w:r>
          </w:p>
        </w:tc>
        <w:tc>
          <w:tcPr>
            <w:tcW w:w="2340" w:type="dxa"/>
            <w:shd w:val="clear" w:color="auto" w:fill="EEF3F5"/>
          </w:tcPr>
          <w:p>
            <w:r>
              <w:rPr>
                <w:b/>
              </w:rPr>
              <w:t xml:space="preserve">Event</w:t>
            </w:r>
          </w:p>
        </w:tc>
        <w:tc>
          <w:tcPr>
            <w:tcW w:w="2340" w:type="dxa"/>
            <w:shd w:val="clear" w:color="auto" w:fill="EEF3F5"/>
          </w:tcPr>
          <w:p>
            <w:r>
              <w:rPr>
                <w:b/>
              </w:rPr>
              <w:t xml:space="preserve">When</w:t>
            </w:r>
          </w:p>
        </w:tc>
        <w:tc>
          <w:tcPr>
            <w:tcW w:w="2340" w:type="dxa"/>
            <w:shd w:val="clear" w:color="auto" w:fill="EEF3F5"/>
          </w:tcPr>
          <w:p>
            <w:r>
              <w:rPr>
                <w:b/>
              </w:rPr>
              <w:t xml:space="preserve">What it tells us</w:t>
            </w:r>
          </w:p>
        </w:tc>
      </w:tr>
      <w:tr>
        <w:tc>
          <w:tcPr>
            <w:tcW w:w="2340" w:type="dxa"/>
          </w:tcPr>
          <w:p>
            <w:r>
              <w:rPr>
                <w:b/>
              </w:rPr>
              <w:t xml:space="preserve">E1</w:t>
            </w:r>
          </w:p>
        </w:tc>
        <w:tc>
          <w:tcPr>
            <w:tcW w:w="2340" w:type="dxa"/>
          </w:tcPr>
          <w:p>
            <w:r>
              <w:t xml:space="preserve">Speech engine transcribed </w:t>
            </w:r>
            <w:r>
              <w:rPr>
                <w:i/>
              </w:rPr>
              <w:t xml:space="preserve">"1827 Willow Bend"</w:t>
            </w:r>
            <w:r>
              <w:t xml:space="preserve"> as </w:t>
            </w:r>
            <w:r>
              <w:rPr>
                <w:i/>
              </w:rPr>
              <w:t xml:space="preserve">"187 Willow Bend"</w:t>
            </w:r>
          </w:p>
        </w:tc>
        <w:tc>
          <w:tcPr>
            <w:tcW w:w="2340" w:type="dxa"/>
          </w:tcPr>
          <w:p>
            <w:r>
              <w:t xml:space="preserve">July 2026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Transcription error is a live, recurring risk.</w:t>
            </w:r>
            <w:r>
              <w:t xml:space="preserve"> Digit-by-digit readback was built in response and caught a wrong number on its first call.</w:t>
            </w:r>
          </w:p>
        </w:tc>
      </w:tr>
      <w:tr>
        <w:tc>
          <w:tcPr>
            <w:tcW w:w="2340" w:type="dxa"/>
          </w:tcPr>
          <w:p>
            <w:r>
              <w:rPr>
                <w:b/>
              </w:rPr>
              <w:t xml:space="preserve">E2</w:t>
            </w:r>
          </w:p>
        </w:tc>
        <w:tc>
          <w:tcPr>
            <w:tcW w:w="2340" w:type="dxa"/>
          </w:tcPr>
          <w:p>
            <w:r>
              <w:t xml:space="preserve">Josh told a caller </w:t>
            </w:r>
            <w:r>
              <w:rPr>
                <w:i/>
              </w:rPr>
              <w:t xml:space="preserve">"there's no such thing as a house that fails, everything can be fixed or negotiated"</w:t>
            </w:r>
          </w:p>
        </w:tc>
        <w:tc>
          <w:tcPr>
            <w:tcW w:w="2340" w:type="dxa"/>
          </w:tcPr>
          <w:p>
            <w:r>
              <w:t xml:space="preserve">Aug 2026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The AI will answer outside its scope unless explicitly prevented.</w:t>
            </w:r>
            <w:r>
              <w:t xml:space="preserve"> Found in both the website demo and the phone script.</w:t>
            </w:r>
          </w:p>
        </w:tc>
      </w:tr>
      <w:tr>
        <w:tc>
          <w:tcPr>
            <w:tcW w:w="2340" w:type="dxa"/>
          </w:tcPr>
          <w:p>
            <w:r>
              <w:rPr>
                <w:b/>
              </w:rPr>
              <w:t xml:space="preserve">E3</w:t>
            </w:r>
          </w:p>
        </w:tc>
        <w:tc>
          <w:tcPr>
            <w:tcW w:w="2340" w:type="dxa"/>
          </w:tcPr>
          <w:p>
            <w:r>
              <w:t xml:space="preserve">A ruling reached the phone agent and not the website agent</w:t>
            </w:r>
          </w:p>
        </w:tc>
        <w:tc>
          <w:tcPr>
            <w:tcW w:w="2340" w:type="dxa"/>
          </w:tcPr>
          <w:p>
            <w:r>
              <w:t xml:space="preserve">Aug 2026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Two brains. An instruction that lands in one is not in force.</w:t>
            </w:r>
          </w:p>
        </w:tc>
      </w:tr>
      <w:tr>
        <w:tc>
          <w:tcPr>
            <w:tcW w:w="2340" w:type="dxa"/>
          </w:tcPr>
          <w:p>
            <w:r>
              <w:rPr>
                <w:b/>
              </w:rPr>
              <w:t xml:space="preserve">E4</w:t>
            </w:r>
          </w:p>
        </w:tc>
        <w:tc>
          <w:tcPr>
            <w:tcW w:w="2340" w:type="dxa"/>
          </w:tcPr>
          <w:p>
            <w:r>
              <w:t xml:space="preserve">Four separate AI specialists produced fabricated content — invented statistics, invented workflow rules marked "live," invented client names</w:t>
            </w:r>
          </w:p>
        </w:tc>
        <w:tc>
          <w:tcPr>
            <w:tcW w:w="2340" w:type="dxa"/>
          </w:tcPr>
          <w:p>
            <w:r>
              <w:t xml:space="preserve">Jul–Aug 2026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Small models with no working retrieval generate plausible answers.</w:t>
            </w:r>
            <w:r>
              <w:t xml:space="preserve"> Root cause was infrastructure, not judgment.</w:t>
            </w:r>
          </w:p>
        </w:tc>
      </w:tr>
      <w:tr>
        <w:tc>
          <w:tcPr>
            <w:tcW w:w="2340" w:type="dxa"/>
          </w:tcPr>
          <w:p>
            <w:r>
              <w:rPr>
                <w:b/>
              </w:rPr>
              <w:t xml:space="preserve">E5</w:t>
            </w:r>
          </w:p>
        </w:tc>
        <w:tc>
          <w:tcPr>
            <w:tcW w:w="2340" w:type="dxa"/>
          </w:tcPr>
          <w:p>
            <w:r>
              <w:t xml:space="preserve">Review gating was specified as a product feature</w:t>
            </w:r>
          </w:p>
        </w:tc>
        <w:tc>
          <w:tcPr>
            <w:tcW w:w="2340" w:type="dxa"/>
          </w:tcPr>
          <w:p>
            <w:r>
              <w:t xml:space="preserve">Jul 2026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A compliance breach can be designed in with good intentions.</w:t>
            </w:r>
            <w:r>
              <w:t xml:space="preserve"> Caught in spec, corrected before build.</w:t>
            </w:r>
          </w:p>
        </w:tc>
      </w:tr>
      <w:tr>
        <w:tc>
          <w:tcPr>
            <w:tcW w:w="2340" w:type="dxa"/>
          </w:tcPr>
          <w:p>
            <w:r>
              <w:rPr>
                <w:b/>
              </w:rPr>
              <w:t xml:space="preserve">E6</w:t>
            </w:r>
          </w:p>
        </w:tc>
        <w:tc>
          <w:tcPr>
            <w:tcW w:w="2340" w:type="dxa"/>
          </w:tcPr>
          <w:p>
            <w:r>
              <w:t xml:space="preserve">Income figures published on the live website</w:t>
            </w:r>
          </w:p>
        </w:tc>
        <w:tc>
          <w:tcPr>
            <w:tcW w:w="2340" w:type="dxa"/>
          </w:tcPr>
          <w:p>
            <w:r>
              <w:t xml:space="preserve">Aug 2026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Marketing drift toward earnings claims is persistent</w:t>
            </w:r>
            <w:r>
              <w:t xml:space="preserve"> and recurs unless checked.</w:t>
            </w:r>
          </w:p>
        </w:tc>
      </w:tr>
      <w:tr>
        <w:tc>
          <w:tcPr>
            <w:tcW w:w="2340" w:type="dxa"/>
          </w:tcPr>
          <w:p>
            <w:r>
              <w:rPr>
                <w:b/>
              </w:rPr>
              <w:t xml:space="preserve">E7</w:t>
            </w:r>
          </w:p>
        </w:tc>
        <w:tc>
          <w:tcPr>
            <w:tcW w:w="2340" w:type="dxa"/>
          </w:tcPr>
          <w:p>
            <w:r>
              <w:t xml:space="preserve">Spanish enablement measurably degraded address accuracy</w:t>
            </w:r>
          </w:p>
        </w:tc>
        <w:tc>
          <w:tcPr>
            <w:tcW w:w="2340" w:type="dxa"/>
          </w:tcPr>
          <w:p>
            <w:r>
              <w:t xml:space="preserve">Aug 2026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A feature can create a defect in an unrelated function.</w:t>
            </w:r>
          </w:p>
        </w:tc>
      </w:tr>
    </w:tbl>
    <w:p>
      <w:r>
        <w:t xml:space="preserve"/>
      </w:r>
    </w:p>
    <w:p>
      <w:r>
        <w:rPr>
          <w:b/>
        </w:rPr>
        <w:t xml:space="preserve">Six of these seven were caught internally.</w:t>
      </w:r>
      <w:r>
        <w:t xml:space="preserve"> That is the single most encouraging fact in this document — and the reason the controls below are worth writing down rather than trusting to memory.</w:t>
      </w:r>
    </w:p>
    <w:p>
      <w:pPr>
        <w:pBdr>
          <w:bottom w:val="single" w:sz="6" w:color="CCCCCC"/>
        </w:pBdr>
      </w:pPr>
    </w:p>
    <w:p>
      <w:pPr>
        <w:pStyle w:val="Heading1"/>
      </w:pPr>
      <w:r>
        <w:t xml:space="preserve">PART 2 — The Register</w:t>
      </w:r>
    </w:p>
    <w:p>
      <w:pPr>
        <w:pStyle w:val="Heading2"/>
      </w:pPr>
      <w:r>
        <w:t xml:space="preserve">🔴 Tier 1 — Severe</w:t>
      </w:r>
    </w:p>
    <w:p>
      <w:pPr>
        <w:pStyle w:val="Heading3"/>
      </w:pPr>
      <w:r>
        <w:t xml:space="preserve">R1 · TCPA violation from a customer-supplied contact list</w:t>
      </w:r>
    </w:p>
    <w:p>
      <w:r>
        <w:rPr>
          <w:b/>
        </w:rPr>
        <w:t xml:space="preserve">Likelihood: Medium · Impact: Severe</w:t>
      </w:r>
    </w:p>
    <w:p>
      <w:r>
        <w:t xml:space="preserve">We send emails and SMS messages on customers' behalf to the lists they upload. Damages run </w:t>
      </w:r>
      <w:r>
        <w:rPr>
          <w:b/>
        </w:rPr>
        <w:t xml:space="preserve">$500–$1,500 per message.</w:t>
      </w:r>
      <w:r>
        <w:t xml:space="preserve"> One customer uploading a purchased list of 5,000 contacts creates $2.5M–$7.5M in theoretical exposure.</w:t>
      </w:r>
    </w:p>
    <w:tbl>
      <w:tblPr>
        <w:tblStyle w:val="TableGrid"/>
        <w:tblW w:w="9360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</w:tblPr>
      <w:tr>
        <w:tc>
          <w:tcPr>
            <w:tcW w:w="4680" w:type="dxa"/>
            <w:shd w:val="clear" w:color="auto" w:fill="EEF3F5"/>
          </w:tcPr>
          <w:p>
            <w:r>
              <w:rPr>
                <w:b/>
              </w:rPr>
              <w:t xml:space="preserve">Controls</w:t>
            </w:r>
          </w:p>
        </w:tc>
        <w:tc>
          <w:tcPr>
            <w:tcW w:w="4680" w:type="dxa"/>
            <w:shd w:val="clear" w:color="auto" w:fill="EEF3F5"/>
          </w:tcPr>
          <w:p>
            <w:r>
              <w:rPr>
                <w:b/>
              </w:rPr>
              <w:t xml:space="preserve">Gaps</w:t>
            </w:r>
          </w:p>
        </w:tc>
      </w:tr>
      <w:tr>
        <w:tc>
          <w:tcPr>
            <w:tcW w:w="4680" w:type="dxa"/>
          </w:tcPr>
          <w:p>
            <w:r>
              <w:t xml:space="preserve">Contractual warranty and indemnity</w:t>
            </w:r>
          </w:p>
        </w:tc>
        <w:tc>
          <w:tcPr>
            <w:tcW w:w="4680" w:type="dxa"/>
          </w:tcPr>
          <w:p>
            <w:r>
              <w:t xml:space="preserve">⚠️ Indemnity is only as good as a one-man shop's ability to pay</w:t>
            </w:r>
          </w:p>
        </w:tc>
      </w:tr>
      <w:tr>
        <w:tc>
          <w:tcPr>
            <w:tcW w:w="4680" w:type="dxa"/>
          </w:tcPr>
          <w:p>
            <w:r>
              <w:t xml:space="preserve">Separate dated attestation at newsletter purchase</w:t>
            </w:r>
          </w:p>
        </w:tc>
        <w:tc>
          <w:tcPr>
            <w:tcW w:w="4680" w:type="dxa"/>
          </w:tcPr>
          <w:p>
            <w:r>
              <w:t xml:space="preserve">⚠️ </w:t>
            </w:r>
            <w:r>
              <w:rPr>
                <w:b/>
              </w:rPr>
              <w:t xml:space="preserve">Attestation not yet built</w:t>
            </w:r>
          </w:p>
        </w:tc>
      </w:tr>
      <w:tr>
        <w:tc>
          <w:tcPr>
            <w:tcW w:w="4680" w:type="dxa"/>
          </w:tcPr>
          <w:p>
            <w:r>
              <w:t xml:space="preserve">We refuse purchased/scraped lists</w:t>
            </w:r>
          </w:p>
        </w:tc>
        <w:tc>
          <w:tcPr>
            <w:tcW w:w="4680" w:type="dxa"/>
          </w:tcPr>
          <w:p>
            <w:r>
              <w:t xml:space="preserve">⚠️ No technical detection of a purchased list</w:t>
            </w:r>
          </w:p>
        </w:tc>
      </w:tr>
      <w:tr>
        <w:tc>
          <w:tcPr>
            <w:tcW w:w="4680" w:type="dxa"/>
          </w:tcPr>
          <w:p>
            <w:r>
              <w:t xml:space="preserve">Unsubscribe, bounce, and STOP handling</w:t>
            </w:r>
          </w:p>
        </w:tc>
        <w:tc>
          <w:tcPr>
            <w:tcW w:w="4680" w:type="dxa"/>
          </w:tcPr>
          <w:p>
            <w:r>
              <w:t xml:space="preserve"/>
            </w:r>
          </w:p>
        </w:tc>
      </w:tr>
    </w:tbl>
    <w:p>
      <w:r>
        <w:t xml:space="preserve"/>
      </w:r>
    </w:p>
    <w:p>
      <w:r>
        <w:rPr>
          <w:b/>
        </w:rPr>
        <w:t xml:space="preserve">Treatment: Reduce \+ Transfer.</w:t>
      </w:r>
      <w:r>
        <w:t xml:space="preserve"> Build the attestation before the first newsletter sale. </w:t>
      </w:r>
      <w:r>
        <w:rPr>
          <w:b/>
        </w:rPr>
        <w:t xml:space="preserve">Confirm TCPA is not excluded from E\&amp;O — if it is, schedule it.</w:t>
      </w:r>
    </w:p>
    <w:p>
      <w:pPr>
        <w:pBdr>
          <w:bottom w:val="single" w:sz="6" w:color="CCCCCC"/>
        </w:pBdr>
      </w:pPr>
    </w:p>
    <w:p>
      <w:pPr>
        <w:pStyle w:val="Heading3"/>
      </w:pPr>
      <w:r>
        <w:t xml:space="preserve">R2 · Data breach</w:t>
      </w:r>
    </w:p>
    <w:p>
      <w:r>
        <w:rPr>
          <w:b/>
        </w:rPr>
        <w:t xml:space="preserve">Likelihood: Low–Medium · Impact: Severe</w:t>
      </w:r>
    </w:p>
    <w:p>
      <w:r>
        <w:t xml:space="preserve">At 500 clients, we hold </w:t>
      </w:r>
      <w:r>
        <w:rPr>
          <w:b/>
        </w:rPr>
        <w:t xml:space="preserve">400,000–800,000 recorded calls per year</w:t>
      </w:r>
      <w:r>
        <w:t xml:space="preserve">, plus names, phone numbers, email addresses, and property addresses of members of the public.</w:t>
      </w:r>
    </w:p>
    <w:tbl>
      <w:tblPr>
        <w:tblStyle w:val="TableGrid"/>
        <w:tblW w:w="9360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</w:tblPr>
      <w:tr>
        <w:tc>
          <w:tcPr>
            <w:tcW w:w="4680" w:type="dxa"/>
            <w:shd w:val="clear" w:color="auto" w:fill="EEF3F5"/>
          </w:tcPr>
          <w:p>
            <w:r>
              <w:rPr>
                <w:b/>
              </w:rPr>
              <w:t xml:space="preserve">Controls</w:t>
            </w:r>
          </w:p>
        </w:tc>
        <w:tc>
          <w:tcPr>
            <w:tcW w:w="4680" w:type="dxa"/>
            <w:shd w:val="clear" w:color="auto" w:fill="EEF3F5"/>
          </w:tcPr>
          <w:p>
            <w:r>
              <w:rPr>
                <w:b/>
              </w:rPr>
              <w:t xml:space="preserve">Gaps</w:t>
            </w:r>
          </w:p>
        </w:tc>
      </w:tr>
      <w:tr>
        <w:tc>
          <w:tcPr>
            <w:tcW w:w="4680" w:type="dxa"/>
          </w:tcPr>
          <w:p>
            <w:r>
              <w:t xml:space="preserve">No card data held</w:t>
            </w:r>
          </w:p>
        </w:tc>
        <w:tc>
          <w:tcPr>
            <w:tcW w:w="4680" w:type="dxa"/>
          </w:tcPr>
          <w:p>
            <w:r>
              <w:t xml:space="preserve">⚠️ </w:t>
            </w:r>
            <w:r>
              <w:rPr>
                <w:b/>
              </w:rPr>
              <w:t xml:space="preserve">No documented security controls</w:t>
            </w:r>
          </w:p>
        </w:tc>
      </w:tr>
      <w:tr>
        <w:tc>
          <w:tcPr>
            <w:tcW w:w="4680" w:type="dxa"/>
          </w:tcPr>
          <w:p>
            <w:r>
              <w:t xml:space="preserve">No health or financial account data</w:t>
            </w:r>
          </w:p>
        </w:tc>
        <w:tc>
          <w:tcPr>
            <w:tcW w:w="4680" w:type="dxa"/>
          </w:tcPr>
          <w:p>
            <w:r>
              <w:t xml:space="preserve">⚠️ No incident response plan</w:t>
            </w:r>
          </w:p>
        </w:tc>
      </w:tr>
      <w:tr>
        <w:tc>
          <w:tcPr>
            <w:tcW w:w="4680" w:type="dxa"/>
          </w:tcPr>
          <w:p>
            <w:r>
              <w:t xml:space="preserve">Defined retention period</w:t>
            </w:r>
          </w:p>
        </w:tc>
        <w:tc>
          <w:tcPr>
            <w:tcW w:w="4680" w:type="dxa"/>
          </w:tcPr>
          <w:p>
            <w:r>
              <w:t xml:space="preserve">⚠️ No breach notification procedure</w:t>
            </w:r>
          </w:p>
        </w:tc>
      </w:tr>
      <w:tr>
        <w:tc>
          <w:tcPr>
            <w:tcW w:w="4680" w:type="dxa"/>
          </w:tcPr>
          <w:p>
            <w:r>
              <w:t xml:space="preserve">Data not sold or cross-shared</w:t>
            </w:r>
          </w:p>
        </w:tc>
        <w:tc>
          <w:tcPr>
            <w:tcW w:w="4680" w:type="dxa"/>
          </w:tcPr>
          <w:p>
            <w:r>
              <w:t xml:space="preserve">⚠️ Access controls not documented</w:t>
            </w:r>
          </w:p>
        </w:tc>
      </w:tr>
    </w:tbl>
    <w:p>
      <w:r>
        <w:t xml:space="preserve"/>
      </w:r>
    </w:p>
    <w:p>
      <w:r>
        <w:rPr>
          <w:b/>
        </w:rPr>
        <w:t xml:space="preserve">Treatment: Reduce \+ Transfer.</w:t>
      </w:r>
      <w:r>
        <w:t xml:space="preserve"> Cyber cover, and the controls documented — underwriters price on them.</w:t>
      </w:r>
    </w:p>
    <w:p>
      <w:pPr>
        <w:pBdr>
          <w:bottom w:val="single" w:sz="6" w:color="CCCCCC"/>
        </w:pBdr>
      </w:pPr>
    </w:p>
    <w:p>
      <w:pPr>
        <w:pStyle w:val="Heading3"/>
      </w:pPr>
      <w:r>
        <w:t xml:space="preserve">R3 · 🔴 Key person dependency</w:t>
      </w:r>
    </w:p>
    <w:p>
      <w:r>
        <w:rPr>
          <w:b/>
        </w:rPr>
        <w:t xml:space="preserve">Likelihood: Medium · Impact: Severe</w:t>
      </w:r>
    </w:p>
    <w:p>
      <w:r>
        <w:rPr>
          <w:b/>
        </w:rPr>
        <w:t xml:space="preserve">Ken</w:t>
      </w:r>
      <w:r>
        <w:t xml:space="preserve"> holds the industry credibility, the strategy, and the client relationships. </w:t>
      </w:r>
      <w:r>
        <w:rPr>
          <w:b/>
        </w:rPr>
        <w:t xml:space="preserve">Dil</w:t>
      </w:r>
      <w:r>
        <w:t xml:space="preserve"> holds the technical operation. </w:t>
      </w:r>
      <w:r>
        <w:rPr>
          <w:b/>
        </w:rPr>
        <w:t xml:space="preserve">Neither is documented to the point where someone else could step in.</w:t>
      </w:r>
    </w:p>
    <w:p>
      <w:r>
        <w:rPr>
          <w:b/>
        </w:rPr>
        <w:t xml:space="preserve">This is a real risk, not a formality.</w:t>
      </w:r>
      <w:r>
        <w:t xml:space="preserve"> Ken closed a previous business for health reasons.</w:t>
      </w:r>
    </w:p>
    <w:tbl>
      <w:tblPr>
        <w:tblStyle w:val="TableGrid"/>
        <w:tblW w:w="9360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</w:tblPr>
      <w:tr>
        <w:tc>
          <w:tcPr>
            <w:tcW w:w="4680" w:type="dxa"/>
            <w:shd w:val="clear" w:color="auto" w:fill="EEF3F5"/>
          </w:tcPr>
          <w:p>
            <w:r>
              <w:rPr>
                <w:b/>
              </w:rPr>
              <w:t xml:space="preserve">Controls</w:t>
            </w:r>
          </w:p>
        </w:tc>
        <w:tc>
          <w:tcPr>
            <w:tcW w:w="4680" w:type="dxa"/>
            <w:shd w:val="clear" w:color="auto" w:fill="EEF3F5"/>
          </w:tcPr>
          <w:p>
            <w:r>
              <w:rPr>
                <w:b/>
              </w:rPr>
              <w:t xml:space="preserve">Gaps</w:t>
            </w:r>
          </w:p>
        </w:tc>
      </w:tr>
      <w:tr>
        <w:tc>
          <w:tcPr>
            <w:tcW w:w="4680" w:type="dxa"/>
          </w:tcPr>
          <w:p>
            <w:r>
              <w:t xml:space="preserve">Written strategy documents</w:t>
            </w:r>
          </w:p>
        </w:tc>
        <w:tc>
          <w:tcPr>
            <w:tcW w:w="4680" w:type="dxa"/>
          </w:tcPr>
          <w:p>
            <w:r>
              <w:t xml:space="preserve">⚠️ </w:t>
            </w:r>
            <w:r>
              <w:rPr>
                <w:b/>
              </w:rPr>
              <w:t xml:space="preserve">No documented succession</w:t>
            </w:r>
          </w:p>
        </w:tc>
      </w:tr>
      <w:tr>
        <w:tc>
          <w:tcPr>
            <w:tcW w:w="4680" w:type="dxa"/>
          </w:tcPr>
          <w:p>
            <w:r>
              <w:t xml:space="preserve">Decisions log</w:t>
            </w:r>
          </w:p>
        </w:tc>
        <w:tc>
          <w:tcPr>
            <w:tcW w:w="4680" w:type="dxa"/>
          </w:tcPr>
          <w:p>
            <w:r>
              <w:t xml:space="preserve">⚠️ Systems knowledge is in Dil's head and Claude Code's context</w:t>
            </w:r>
          </w:p>
        </w:tc>
      </w:tr>
      <w:tr>
        <w:tc>
          <w:tcPr>
            <w:tcW w:w="4680" w:type="dxa"/>
          </w:tcPr>
          <w:p>
            <w:r>
              <w:t xml:space="preserve">Beth as co-owner</w:t>
            </w:r>
          </w:p>
        </w:tc>
        <w:tc>
          <w:tcPr>
            <w:tcW w:w="4680" w:type="dxa"/>
          </w:tcPr>
          <w:p>
            <w:r>
              <w:t xml:space="preserve">⚠️ No key person insurance</w:t>
            </w:r>
          </w:p>
        </w:tc>
      </w:tr>
      <w:tr>
        <w:tc>
          <w:tcPr>
            <w:tcW w:w="4680" w:type="dxa"/>
          </w:tcPr>
          <w:p>
            <w:r>
              <w:t xml:space="preserve"/>
            </w:r>
          </w:p>
        </w:tc>
        <w:tc>
          <w:tcPr>
            <w:tcW w:w="4680" w:type="dxa"/>
          </w:tcPr>
          <w:p>
            <w:r>
              <w:t xml:space="preserve">⚠️ </w:t>
            </w:r>
            <w:r>
              <w:rPr>
                <w:b/>
              </w:rPr>
              <w:t xml:space="preserve">Recorded material is the transferable asset, and most of it isn't recorded yet</w:t>
            </w:r>
          </w:p>
        </w:tc>
      </w:tr>
    </w:tbl>
    <w:p>
      <w:r>
        <w:t xml:space="preserve"/>
      </w:r>
    </w:p>
    <w:p>
      <w:r>
        <w:rPr>
          <w:b/>
        </w:rPr>
        <w:t xml:space="preserve">Treatment: Reduce.</w:t>
      </w:r>
      <w:r>
        <w:t xml:space="preserve"> Record what Ken does the first time he does it. Document the technical architecture to the point a competent developer could take it over. </w:t>
      </w:r>
      <w:r>
        <w:rPr>
          <w:b/>
        </w:rPr>
        <w:t xml:space="preserve">Consider key person cover.</w:t>
      </w:r>
    </w:p>
    <w:p>
      <w:pPr>
        <w:pBdr>
          <w:bottom w:val="single" w:sz="6" w:color="CCCCCC"/>
        </w:pBdr>
      </w:pPr>
    </w:p>
    <w:p>
      <w:pPr>
        <w:pStyle w:val="Heading3"/>
      </w:pPr>
      <w:r>
        <w:t xml:space="preserve">R4 · Platform or vendor dependency failure</w:t>
      </w:r>
    </w:p>
    <w:p>
      <w:r>
        <w:rPr>
          <w:b/>
        </w:rPr>
        <w:t xml:space="preserve">Likelihood: Medium · Impact: Severe</w:t>
      </w:r>
    </w:p>
    <w:p>
      <w:r>
        <w:t xml:space="preserve">The service depends on a telecom carrier, a speech engine, AI model providers, a CRM platform, a payment processor, and cloud hosting. </w:t>
      </w:r>
      <w:r>
        <w:rPr>
          <w:b/>
        </w:rPr>
        <w:t xml:space="preserve">Any one of them can change terms, raise prices, or fail.</w:t>
      </w:r>
    </w:p>
    <w:tbl>
      <w:tblPr>
        <w:tblStyle w:val="TableGrid"/>
        <w:tblW w:w="9360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</w:tblPr>
      <w:tr>
        <w:tc>
          <w:tcPr>
            <w:tcW w:w="4680" w:type="dxa"/>
            <w:shd w:val="clear" w:color="auto" w:fill="EEF3F5"/>
          </w:tcPr>
          <w:p>
            <w:r>
              <w:rPr>
                <w:b/>
              </w:rPr>
              <w:t xml:space="preserve">Controls</w:t>
            </w:r>
          </w:p>
        </w:tc>
        <w:tc>
          <w:tcPr>
            <w:tcW w:w="4680" w:type="dxa"/>
            <w:shd w:val="clear" w:color="auto" w:fill="EEF3F5"/>
          </w:tcPr>
          <w:p>
            <w:r>
              <w:rPr>
                <w:b/>
              </w:rPr>
              <w:t xml:space="preserve">Gaps</w:t>
            </w:r>
          </w:p>
        </w:tc>
      </w:tr>
      <w:tr>
        <w:tc>
          <w:tcPr>
            <w:tcW w:w="4680" w:type="dxa"/>
          </w:tcPr>
          <w:p>
            <w:r>
              <w:t xml:space="preserve">Corporate automation built in our own code, not the CRM</w:t>
            </w:r>
          </w:p>
        </w:tc>
        <w:tc>
          <w:tcPr>
            <w:tcW w:w="4680" w:type="dxa"/>
          </w:tcPr>
          <w:p>
            <w:r>
              <w:t xml:space="preserve">⚠️ </w:t>
            </w:r>
            <w:r>
              <w:rPr>
                <w:b/>
              </w:rPr>
              <w:t xml:space="preserve">Contact data still lives in a third-party CRM</w:t>
            </w:r>
          </w:p>
        </w:tc>
      </w:tr>
      <w:tr>
        <w:tc>
          <w:tcPr>
            <w:tcW w:w="4680" w:type="dxa"/>
          </w:tcPr>
          <w:p>
            <w:r>
              <w:t xml:space="preserve">Speech engine already swapped once</w:t>
            </w:r>
          </w:p>
        </w:tc>
        <w:tc>
          <w:tcPr>
            <w:tcW w:w="4680" w:type="dxa"/>
          </w:tcPr>
          <w:p>
            <w:r>
              <w:t xml:space="preserve">⚠️ No documented exit path from any vendor</w:t>
            </w:r>
          </w:p>
        </w:tc>
      </w:tr>
      <w:tr>
        <w:tc>
          <w:tcPr>
            <w:tcW w:w="4680" w:type="dxa"/>
          </w:tcPr>
          <w:p>
            <w:r>
              <w:t xml:space="preserve"/>
            </w:r>
          </w:p>
        </w:tc>
        <w:tc>
          <w:tcPr>
            <w:tcW w:w="4680" w:type="dxa"/>
          </w:tcPr>
          <w:p>
            <w:r>
              <w:t xml:space="preserve">⚠️ No cost modelling if a vendor doubles pricing</w:t>
            </w:r>
          </w:p>
        </w:tc>
      </w:tr>
    </w:tbl>
    <w:p>
      <w:r>
        <w:t xml:space="preserve"/>
      </w:r>
    </w:p>
    <w:p>
      <w:r>
        <w:rPr>
          <w:b/>
        </w:rPr>
        <w:t xml:space="preserve">Treatment: Reduce \+ Accept.</w:t>
      </w:r>
      <w:r>
        <w:t xml:space="preserve"> Know the exit path for each. </w:t>
      </w:r>
      <w:r>
        <w:rPr>
          <w:b/>
        </w:rPr>
        <w:t xml:space="preserve">Accept that some concentration is unavoidable at this size.</w:t>
      </w:r>
    </w:p>
    <w:p>
      <w:pPr>
        <w:pBdr>
          <w:bottom w:val="single" w:sz="6" w:color="CCCCCC"/>
        </w:pBdr>
      </w:pPr>
    </w:p>
    <w:p>
      <w:pPr>
        <w:pStyle w:val="Heading2"/>
      </w:pPr>
      <w:r>
        <w:t xml:space="preserve">🟠 Tier 2 — Major</w:t>
      </w:r>
    </w:p>
    <w:p>
      <w:pPr>
        <w:pStyle w:val="Heading3"/>
      </w:pPr>
      <w:r>
        <w:t xml:space="preserve">R5 · Josh error at scale</w:t>
      </w:r>
    </w:p>
    <w:p>
      <w:r>
        <w:rPr>
          <w:b/>
        </w:rPr>
        <w:t xml:space="preserve">Likelihood: High · Impact: Moderate per event, Major cumulatively</w:t>
      </w:r>
    </w:p>
    <w:p>
      <w:r>
        <w:t xml:space="preserve">Wrong address, wrong price, wrong slot. </w:t>
      </w:r>
      <w:r>
        <w:rPr>
          <w:b/>
        </w:rPr>
        <w:t xml:space="preserve">E1 confirms it happens.</w:t>
      </w:r>
      <w:r>
        <w:t xml:space="preserve"> At 500 clients and half a million calls, a 0.1% error rate is 500–800 errors a year.</w:t>
      </w:r>
    </w:p>
    <w:p>
      <w:r>
        <w:rPr>
          <w:b/>
        </w:rPr>
        <w:t xml:space="preserve">Controls:</w:t>
      </w:r>
      <w:r>
        <w:t xml:space="preserve"> digit-by-digit readback · pricing from customer rules · contractual verification duty · recordings and transcripts for dispute resolution</w:t>
      </w:r>
    </w:p>
    <w:p>
      <w:r>
        <w:rPr>
          <w:b/>
        </w:rPr>
        <w:t xml:space="preserve">Gaps:</w:t>
      </w:r>
      <w:r>
        <w:t xml:space="preserve"> ⚠️ </w:t>
      </w:r>
      <w:r>
        <w:rPr>
          <w:b/>
        </w:rPr>
        <w:t xml:space="preserve">no measured error rate</w:t>
      </w:r>
      <w:r>
        <w:t xml:space="preserve"> · no systematic error monitoring · no defined correction procedure</w:t>
      </w:r>
    </w:p>
    <w:p>
      <w:r>
        <w:rPr>
          <w:b/>
        </w:rPr>
        <w:t xml:space="preserve">Treatment: Reduce.</w:t>
      </w:r>
      <w:r>
        <w:t xml:space="preserve"> </w:t>
      </w:r>
      <w:r>
        <w:rPr>
          <w:b/>
        </w:rPr>
        <w:t xml:space="preserve">Measure the error rate before launch and track it.</w:t>
      </w:r>
      <w:r>
        <w:t xml:space="preserve"> Without a baseline, there's no way to know if it's getting worse.</w:t>
      </w:r>
    </w:p>
    <w:p>
      <w:pPr>
        <w:pBdr>
          <w:bottom w:val="single" w:sz="6" w:color="CCCCCC"/>
        </w:pBdr>
      </w:pPr>
    </w:p>
    <w:p>
      <w:pPr>
        <w:pStyle w:val="Heading3"/>
      </w:pPr>
      <w:r>
        <w:t xml:space="preserve">R6 · Service outage</w:t>
      </w:r>
    </w:p>
    <w:p>
      <w:r>
        <w:rPr>
          <w:b/>
        </w:rPr>
        <w:t xml:space="preserve">Likelihood: Medium · Impact: Major</w:t>
      </w:r>
    </w:p>
    <w:p>
      <w:r>
        <w:rPr>
          <w:b/>
        </w:rPr>
        <w:t xml:space="preserve">Every customer's phone goes unanswered simultaneously.</w:t>
      </w:r>
    </w:p>
    <w:p>
      <w:r>
        <w:rPr>
          <w:b/>
        </w:rPr>
        <w:t xml:space="preserve">Controls:</w:t>
      </w:r>
      <w:r>
        <w:t xml:space="preserve"> none documented</w:t>
      </w:r>
    </w:p>
    <w:p>
      <w:r>
        <w:rPr>
          <w:b/>
        </w:rPr>
        <w:t xml:space="preserve">Gaps:</w:t>
      </w:r>
      <w:r>
        <w:t xml:space="preserve"> 🔴 </w:t>
      </w:r>
      <w:r>
        <w:rPr>
          <w:b/>
        </w:rPr>
        <w:t xml:space="preserve">failover behaviour undefined</w:t>
      </w:r>
      <w:r>
        <w:t xml:space="preserve"> · no status page · no notification procedure · no SLA · </w:t>
      </w:r>
      <w:r>
        <w:rPr>
          <w:b/>
        </w:rPr>
        <w:t xml:space="preserve">no answer to the question a prospect asks before signing</w:t>
      </w:r>
    </w:p>
    <w:p>
      <w:r>
        <w:rPr>
          <w:b/>
        </w:rPr>
        <w:t xml:space="preserve">Treatment: Reduce.</w:t>
      </w:r>
      <w:r>
        <w:t xml:space="preserve"> </w:t>
      </w:r>
      <w:r>
        <w:rPr>
          <w:b/>
        </w:rPr>
        <w:t xml:space="preserve">This is the most overdue item in the plan.</w:t>
      </w:r>
      <w:r>
        <w:t xml:space="preserve"> Open since 6 August.</w:t>
      </w:r>
    </w:p>
    <w:p>
      <w:pPr>
        <w:pBdr>
          <w:bottom w:val="single" w:sz="6" w:color="CCCCCC"/>
        </w:pBdr>
      </w:pPr>
    </w:p>
    <w:p>
      <w:pPr>
        <w:pStyle w:val="Heading3"/>
      </w:pPr>
      <w:r>
        <w:t xml:space="preserve">R7 · AI acts outside its scope</w:t>
      </w:r>
    </w:p>
    <w:p>
      <w:r>
        <w:rPr>
          <w:b/>
        </w:rPr>
        <w:t xml:space="preserve">Likelihood: Medium · Impact: Major</w:t>
      </w:r>
    </w:p>
    <w:p>
      <w:r>
        <w:rPr>
          <w:b/>
        </w:rPr>
        <w:t xml:space="preserve">E2 is the proof.</w:t>
      </w:r>
      <w:r>
        <w:t xml:space="preserve"> Josh gave advice about a house nobody had inspected, in the inspector's name. </w:t>
      </w:r>
      <w:r>
        <w:rPr>
          <w:b/>
        </w:rPr>
        <w:t xml:space="preserve">E3 shows a fix can land in one agent and not the other.</w:t>
      </w:r>
    </w:p>
    <w:p>
      <w:r>
        <w:rPr>
          <w:b/>
        </w:rPr>
        <w:t xml:space="preserve">Controls:</w:t>
      </w:r>
      <w:r>
        <w:t xml:space="preserve"> explicit scope rules · disclosure on request · automated drift check</w:t>
      </w:r>
    </w:p>
    <w:p>
      <w:r>
        <w:rPr>
          <w:b/>
        </w:rPr>
        <w:t xml:space="preserve">Gaps:</w:t>
      </w:r>
      <w:r>
        <w:t xml:space="preserve"> ⚠️ </w:t>
      </w:r>
      <w:r>
        <w:rPr>
          <w:b/>
        </w:rPr>
        <w:t xml:space="preserve">the drift check had been failing</w:t>
      </w:r>
      <w:r>
        <w:t xml:space="preserve"> · rules do not survive translation </w:t>
      </w:r>
      <w:r>
        <w:rPr>
          <w:i/>
        </w:rPr>
        <w:t xml:space="preserve">(the Spanish agent used the banned word and dodged the AI question)</w:t>
      </w:r>
      <w:r>
        <w:t xml:space="preserve"> · no periodic transcript review</w:t>
      </w:r>
    </w:p>
    <w:p>
      <w:r>
        <w:rPr>
          <w:b/>
        </w:rPr>
        <w:t xml:space="preserve">Treatment: Reduce.</w:t>
      </w:r>
      <w:r>
        <w:t xml:space="preserve"> Rules verified in </w:t>
      </w:r>
      <w:r>
        <w:rPr>
          <w:b/>
        </w:rPr>
        <w:t xml:space="preserve">both</w:t>
      </w:r>
      <w:r>
        <w:t xml:space="preserve"> agents and </w:t>
      </w:r>
      <w:r>
        <w:rPr>
          <w:b/>
        </w:rPr>
        <w:t xml:space="preserve">every</w:t>
      </w:r>
      <w:r>
        <w:t xml:space="preserve"> language, and a sample of live transcripts read weekly by a human.</w:t>
      </w:r>
    </w:p>
    <w:p>
      <w:pPr>
        <w:pBdr>
          <w:bottom w:val="single" w:sz="6" w:color="CCCCCC"/>
        </w:pBdr>
      </w:pPr>
    </w:p>
    <w:p>
      <w:pPr>
        <w:pStyle w:val="Heading3"/>
      </w:pPr>
      <w:r>
        <w:t xml:space="preserve">R8 · Compliance drift in marketing</w:t>
      </w:r>
    </w:p>
    <w:p>
      <w:r>
        <w:rPr>
          <w:b/>
        </w:rPr>
        <w:t xml:space="preserve">Likelihood: High · Impact: Major</w:t>
      </w:r>
    </w:p>
    <w:p>
      <w:r>
        <w:rPr>
          <w:b/>
        </w:rPr>
        <w:t xml:space="preserve">E5 and E6 both happened.</w:t>
      </w:r>
      <w:r>
        <w:t xml:space="preserve"> Income figures reached the live site. Review gating was written into a spec as a feature.</w:t>
      </w:r>
    </w:p>
    <w:p>
      <w:r>
        <w:rPr>
          <w:b/>
        </w:rPr>
        <w:t xml:space="preserve">Controls:</w:t>
      </w:r>
      <w:r>
        <w:t xml:space="preserve"> copy gate · standing rules · sourcing convention · no-earnings-claims rule</w:t>
      </w:r>
    </w:p>
    <w:p>
      <w:r>
        <w:rPr>
          <w:b/>
        </w:rPr>
        <w:t xml:space="preserve">Gaps:</w:t>
      </w:r>
      <w:r>
        <w:t xml:space="preserve"> ⚠️ </w:t>
      </w:r>
      <w:r>
        <w:rPr>
          <w:b/>
        </w:rPr>
        <w:t xml:space="preserve">gate has been bypassed under time pressure</w:t>
      </w:r>
      <w:r>
        <w:t xml:space="preserve"> · no pre-publication checklist · no periodic audit of live pages</w:t>
      </w:r>
    </w:p>
    <w:p>
      <w:r>
        <w:rPr>
          <w:b/>
        </w:rPr>
        <w:t xml:space="preserve">Treatment: Reduce.</w:t>
      </w:r>
      <w:r>
        <w:t xml:space="preserve"> A short pre-publication checklist, and a quarterly sweep of the live site.</w:t>
      </w:r>
    </w:p>
    <w:p>
      <w:pPr>
        <w:pBdr>
          <w:bottom w:val="single" w:sz="6" w:color="CCCCCC"/>
        </w:pBdr>
      </w:pPr>
    </w:p>
    <w:p>
      <w:pPr>
        <w:pStyle w:val="Heading3"/>
      </w:pPr>
      <w:r>
        <w:t xml:space="preserve">R9 · Delivery capacity</w:t>
      </w:r>
    </w:p>
    <w:p>
      <w:r>
        <w:rPr>
          <w:b/>
        </w:rPr>
        <w:t xml:space="preserve">Likelihood: High · Impact: Major</w:t>
      </w:r>
    </w:p>
    <w:p>
      <w:r>
        <w:rPr>
          <w:b/>
        </w:rPr>
        <w:t xml:space="preserve">White Glove setup is manual.</w:t>
      </w:r>
      <w:r>
        <w:t xml:space="preserve"> At 500 clients that's 500 hand-built configurations plus ongoing accelerant delivery.</w:t>
      </w:r>
    </w:p>
    <w:p>
      <w:r>
        <w:rPr>
          <w:b/>
        </w:rPr>
        <w:t xml:space="preserve">Controls:</w:t>
      </w:r>
      <w:r>
        <w:t xml:space="preserve"> onboarding capacity is a stated constraint on the offer</w:t>
      </w:r>
    </w:p>
    <w:p>
      <w:r>
        <w:rPr>
          <w:b/>
        </w:rPr>
        <w:t xml:space="preserve">Gaps:</w:t>
      </w:r>
      <w:r>
        <w:t xml:space="preserve"> ⚠️ </w:t>
      </w:r>
      <w:r>
        <w:rPr>
          <w:b/>
        </w:rPr>
        <w:t xml:space="preserve">capacity number not established</w:t>
      </w:r>
      <w:r>
        <w:t xml:space="preserve"> · snapshot contents unverified · </w:t>
      </w:r>
      <w:r>
        <w:rPr>
          <w:b/>
        </w:rPr>
        <w:t xml:space="preserve">accelerant cadence commitments not yet set</w:t>
      </w:r>
      <w:r>
        <w:t xml:space="preserve"> · no per-client delivery time measurement</w:t>
      </w:r>
    </w:p>
    <w:p>
      <w:r>
        <w:rPr>
          <w:b/>
        </w:rPr>
        <w:t xml:space="preserve">Treatment: Reduce.</w:t>
      </w:r>
      <w:r>
        <w:t xml:space="preserve"> </w:t>
      </w:r>
      <w:r>
        <w:rPr>
          <w:b/>
        </w:rPr>
        <w:t xml:space="preserve">The cadence numbers in the agreement must be ones the team can meet on every client.</w:t>
      </w:r>
      <w:r>
        <w:t xml:space="preserve"> A missed contractual scope is worse than no scope.</w:t>
      </w:r>
    </w:p>
    <w:p>
      <w:pPr>
        <w:pBdr>
          <w:bottom w:val="single" w:sz="6" w:color="CCCCCC"/>
        </w:pBdr>
      </w:pPr>
    </w:p>
    <w:p>
      <w:pPr>
        <w:pStyle w:val="Heading3"/>
      </w:pPr>
      <w:r>
        <w:t xml:space="preserve">R10 · Churn</w:t>
      </w:r>
    </w:p>
    <w:p>
      <w:r>
        <w:rPr>
          <w:b/>
        </w:rPr>
        <w:t xml:space="preserve">Likelihood: High · Impact: Major</w:t>
      </w:r>
    </w:p>
    <w:p>
      <w:r>
        <w:t xml:space="preserve">500 net is not 500 gross. </w:t>
      </w:r>
      <w:r>
        <w:rPr>
          <w:b/>
        </w:rPr>
        <w:t xml:space="preserve">At 10% annual churn, holding 500 takes \~650 acquisitions. At 30%, 900 or more</w:t>
      </w:r>
      <w:r>
        <w:t xml:space="preserve"> — a 40% swing in total marketing cost.</w:t>
      </w:r>
    </w:p>
    <w:p>
      <w:r>
        <w:rPr>
          <w:b/>
        </w:rPr>
        <w:t xml:space="preserve">Controls:</w:t>
      </w:r>
      <w:r>
        <w:t xml:space="preserve"> Retention Engine · Business Center · James on the dashboard</w:t>
      </w:r>
    </w:p>
    <w:p>
      <w:r>
        <w:rPr>
          <w:b/>
        </w:rPr>
        <w:t xml:space="preserve">Gaps:</w:t>
      </w:r>
      <w:r>
        <w:t xml:space="preserve"> ⚠️ no churn measurement · no exit interview · no early-warning signal</w:t>
      </w:r>
    </w:p>
    <w:p>
      <w:r>
        <w:rPr>
          <w:b/>
        </w:rPr>
        <w:t xml:space="preserve">Treatment: Reduce.</w:t>
      </w:r>
      <w:r>
        <w:t xml:space="preserve"> </w:t>
      </w:r>
      <w:r>
        <w:rPr>
          <w:b/>
        </w:rPr>
        <w:t xml:space="preserve">Instrument it from client one</w:t>
      </w:r>
      <w:r>
        <w:t xml:space="preserve">, not from client fifty.</w:t>
      </w:r>
    </w:p>
    <w:p>
      <w:pPr>
        <w:pBdr>
          <w:bottom w:val="single" w:sz="6" w:color="CCCCCC"/>
        </w:pBdr>
      </w:pPr>
    </w:p>
    <w:p>
      <w:pPr>
        <w:pStyle w:val="Heading2"/>
      </w:pPr>
      <w:r>
        <w:t xml:space="preserve">🟡 Tier 3 — Moderate</w:t>
      </w:r>
    </w:p>
    <w:tbl>
      <w:tblPr>
        <w:tblStyle w:val="TableGrid"/>
        <w:tblW w:w="9360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</w:tblPr>
      <w:tr>
        <w:tc>
          <w:tcPr>
            <w:tcW w:w="3120" w:type="dxa"/>
            <w:shd w:val="clear" w:color="auto" w:fill="EEF3F5"/>
          </w:tcPr>
          <w:p>
            <w:r>
              <w:rPr>
                <w:b/>
              </w:rPr>
              <w:t xml:space="preserve">\#</w:t>
            </w:r>
          </w:p>
        </w:tc>
        <w:tc>
          <w:tcPr>
            <w:tcW w:w="3120" w:type="dxa"/>
            <w:shd w:val="clear" w:color="auto" w:fill="EEF3F5"/>
          </w:tcPr>
          <w:p>
            <w:r>
              <w:rPr>
                <w:b/>
              </w:rPr>
              <w:t xml:space="preserve">Risk</w:t>
            </w:r>
          </w:p>
        </w:tc>
        <w:tc>
          <w:tcPr>
            <w:tcW w:w="3120" w:type="dxa"/>
            <w:shd w:val="clear" w:color="auto" w:fill="EEF3F5"/>
          </w:tcPr>
          <w:p>
            <w:r>
              <w:rPr>
                <w:b/>
              </w:rPr>
              <w:t xml:space="preserve">Note</w:t>
            </w:r>
          </w:p>
        </w:tc>
      </w:tr>
      <w:tr>
        <w:tc>
          <w:tcPr>
            <w:tcW w:w="3120" w:type="dxa"/>
          </w:tcPr>
          <w:p>
            <w:r>
              <w:rPr>
                <w:b/>
              </w:rPr>
              <w:t xml:space="preserve">R11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Double-booking</w:t>
            </w:r>
          </w:p>
        </w:tc>
        <w:tc>
          <w:tcPr>
            <w:tcW w:w="3120" w:type="dxa"/>
          </w:tcPr>
          <w:p>
            <w:r>
              <w:t xml:space="preserve">Contractually addressed. </w:t>
            </w:r>
            <w:r>
              <w:rPr>
                <w:b/>
              </w:rPr>
              <w:t xml:space="preserve">No technical prevention if a customer books outside the system.</w:t>
            </w:r>
          </w:p>
        </w:tc>
      </w:tr>
      <w:tr>
        <w:tc>
          <w:tcPr>
            <w:tcW w:w="3120" w:type="dxa"/>
          </w:tcPr>
          <w:p>
            <w:r>
              <w:rPr>
                <w:b/>
              </w:rPr>
              <w:t xml:space="preserve">R12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Call recording consent</w:t>
            </w:r>
          </w:p>
        </w:tc>
        <w:tc>
          <w:tcPr>
            <w:tcW w:w="3120" w:type="dxa"/>
          </w:tcPr>
          <w:p>
            <w:r>
              <w:t xml:space="preserve">Josh announces on every call — a strong control. ⚠️ </w:t>
            </w:r>
            <w:r>
              <w:rPr>
                <w:b/>
              </w:rPr>
              <w:t xml:space="preserve">Announcement wording not legally reviewed.</w:t>
            </w:r>
          </w:p>
        </w:tc>
      </w:tr>
      <w:tr>
        <w:tc>
          <w:tcPr>
            <w:tcW w:w="3120" w:type="dxa"/>
          </w:tcPr>
          <w:p>
            <w:r>
              <w:rPr>
                <w:b/>
              </w:rPr>
              <w:t xml:space="preserve">R13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Content published in a customer's name</w:t>
            </w:r>
          </w:p>
        </w:tc>
        <w:tc>
          <w:tcPr>
            <w:tcW w:w="3120" w:type="dxa"/>
          </w:tcPr>
          <w:p>
            <w:r>
              <w:t xml:space="preserve">Newsletters, review responses, microsites. Approval by exception. ⚠️ No pre-send review of anything naming a third party.</w:t>
            </w:r>
          </w:p>
        </w:tc>
      </w:tr>
      <w:tr>
        <w:tc>
          <w:tcPr>
            <w:tcW w:w="3120" w:type="dxa"/>
          </w:tcPr>
          <w:p>
            <w:r>
              <w:rPr>
                <w:b/>
              </w:rPr>
              <w:t xml:space="preserve">R14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Standards of Practice — Home Pro Network</w:t>
            </w:r>
          </w:p>
        </w:tc>
        <w:tc>
          <w:tcPr>
            <w:tcW w:w="3120" w:type="dxa"/>
          </w:tcPr>
          <w:p>
            <w:r>
              <w:t xml:space="preserve">Advertising structure, disclaimers, customer responsibility stated. ⚠️ Attorney has not yet confirmed the structure holds.</w:t>
            </w:r>
          </w:p>
        </w:tc>
      </w:tr>
      <w:tr>
        <w:tc>
          <w:tcPr>
            <w:tcW w:w="3120" w:type="dxa"/>
          </w:tcPr>
          <w:p>
            <w:r>
              <w:rPr>
                <w:b/>
              </w:rPr>
              <w:t xml:space="preserve">R15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Porting failure</w:t>
            </w:r>
          </w:p>
        </w:tc>
        <w:tc>
          <w:tcPr>
            <w:tcW w:w="3120" w:type="dxa"/>
          </w:tcPr>
          <w:p>
            <w:r>
              <w:t xml:space="preserve">Contract says service doesn't begin until the port completes. ⚠️ No procedure for a rejected port.</w:t>
            </w:r>
          </w:p>
        </w:tc>
      </w:tr>
      <w:tr>
        <w:tc>
          <w:tcPr>
            <w:tcW w:w="3120" w:type="dxa"/>
          </w:tcPr>
          <w:p>
            <w:r>
              <w:rPr>
                <w:b/>
              </w:rPr>
              <w:t xml:space="preserve">R16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Stale context in the agent team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E4.</w:t>
            </w:r>
            <w:r>
              <w:t xml:space="preserve"> Memory search now working, documents committed. ⚠️ </w:t>
            </w:r>
            <w:r>
              <w:rPr>
                <w:b/>
              </w:rPr>
              <w:t xml:space="preserve">Instructions still need updating when the log changes.</w:t>
            </w:r>
          </w:p>
        </w:tc>
      </w:tr>
      <w:tr>
        <w:tc>
          <w:tcPr>
            <w:tcW w:w="3120" w:type="dxa"/>
          </w:tcPr>
          <w:p>
            <w:r>
              <w:rPr>
                <w:b/>
              </w:rPr>
              <w:t xml:space="preserve">R17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Spanish accuracy degradation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E7.</w:t>
            </w:r>
            <w:r>
              <w:t xml:space="preserve"> Disclosed in the agreement, English default. ⚠️ Address accuracy not re-tested since enablement.</w:t>
            </w:r>
          </w:p>
        </w:tc>
      </w:tr>
      <w:tr>
        <w:tc>
          <w:tcPr>
            <w:tcW w:w="3120" w:type="dxa"/>
          </w:tcPr>
          <w:p>
            <w:r>
              <w:rPr>
                <w:b/>
              </w:rPr>
              <w:t xml:space="preserve">R18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Pricing and unit economics</w:t>
            </w:r>
          </w:p>
        </w:tc>
        <w:tc>
          <w:tcPr>
            <w:tcW w:w="3120" w:type="dxa"/>
          </w:tcPr>
          <w:p>
            <w:r>
              <w:t xml:space="preserve">⚠️ </w:t>
            </w:r>
            <w:r>
              <w:rPr>
                <w:b/>
              </w:rPr>
              <w:t xml:space="preserve">Not yet established.</w:t>
            </w:r>
            <w:r>
              <w:t xml:space="preserve"> Cannot assess margin risk until Sterling's numbers exist.</w:t>
            </w:r>
          </w:p>
        </w:tc>
      </w:tr>
    </w:tbl>
    <w:p>
      <w:r>
        <w:t xml:space="preserve"/>
      </w:r>
    </w:p>
    <w:p>
      <w:pPr>
        <w:pBdr>
          <w:bottom w:val="single" w:sz="6" w:color="CCCCCC"/>
        </w:pBdr>
      </w:pPr>
    </w:p>
    <w:p>
      <w:pPr>
        <w:pStyle w:val="Heading1"/>
      </w:pPr>
      <w:r>
        <w:t xml:space="preserve">PART 3 — 🔴 What has no control at all</w:t>
      </w:r>
    </w:p>
    <w:p>
      <w:r>
        <w:rPr>
          <w:b/>
        </w:rPr>
        <w:t xml:space="preserve">The honest list. Everything here is currently uncontrolled.</w:t>
      </w:r>
    </w:p>
    <w:tbl>
      <w:tblPr>
        <w:tblStyle w:val="TableGrid"/>
        <w:tblW w:w="9360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</w:tblPr>
      <w:tr>
        <w:tc>
          <w:tcPr>
            <w:tcW w:w="3120" w:type="dxa"/>
            <w:shd w:val="clear" w:color="auto" w:fill="EEF3F5"/>
          </w:tcPr>
          <w:p>
            <w:r>
              <w:rPr>
                <w:b/>
              </w:rPr>
              <w:t xml:space="preserve">\#</w:t>
            </w:r>
          </w:p>
        </w:tc>
        <w:tc>
          <w:tcPr>
            <w:tcW w:w="3120" w:type="dxa"/>
            <w:shd w:val="clear" w:color="auto" w:fill="EEF3F5"/>
          </w:tcPr>
          <w:p>
            <w:r>
              <w:rPr>
                <w:b/>
              </w:rPr>
              <w:t xml:space="preserve">Gap</w:t>
            </w:r>
          </w:p>
        </w:tc>
        <w:tc>
          <w:tcPr>
            <w:tcW w:w="3120" w:type="dxa"/>
            <w:shd w:val="clear" w:color="auto" w:fill="EEF3F5"/>
          </w:tcPr>
          <w:p>
            <w:r>
              <w:rPr>
                <w:b/>
              </w:rPr>
              <w:t xml:space="preserve">Consequence</w:t>
            </w:r>
          </w:p>
        </w:tc>
      </w:tr>
      <w:tr>
        <w:tc>
          <w:tcPr>
            <w:tcW w:w="3120" w:type="dxa"/>
          </w:tcPr>
          <w:p>
            <w:r>
              <w:rPr>
                <w:b/>
              </w:rPr>
              <w:t xml:space="preserve">1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Outage failover undefined</w:t>
            </w:r>
          </w:p>
        </w:tc>
        <w:tc>
          <w:tcPr>
            <w:tcW w:w="3120" w:type="dxa"/>
          </w:tcPr>
          <w:p>
            <w:r>
              <w:t xml:space="preserve">No answer for prospects, no answer for clients, no clause in the contract</w:t>
            </w:r>
          </w:p>
        </w:tc>
      </w:tr>
      <w:tr>
        <w:tc>
          <w:tcPr>
            <w:tcW w:w="3120" w:type="dxa"/>
          </w:tcPr>
          <w:p>
            <w:r>
              <w:rPr>
                <w:b/>
              </w:rPr>
              <w:t xml:space="preserve">2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No incident response plan</w:t>
            </w:r>
          </w:p>
        </w:tc>
        <w:tc>
          <w:tcPr>
            <w:tcW w:w="3120" w:type="dxa"/>
          </w:tcPr>
          <w:p>
            <w:r>
              <w:t xml:space="preserve">A breach or outage would be improvised</w:t>
            </w:r>
          </w:p>
        </w:tc>
      </w:tr>
      <w:tr>
        <w:tc>
          <w:tcPr>
            <w:tcW w:w="3120" w:type="dxa"/>
          </w:tcPr>
          <w:p>
            <w:r>
              <w:rPr>
                <w:b/>
              </w:rPr>
              <w:t xml:space="preserve">3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No measured Josh error rate</w:t>
            </w:r>
          </w:p>
        </w:tc>
        <w:tc>
          <w:tcPr>
            <w:tcW w:w="3120" w:type="dxa"/>
          </w:tcPr>
          <w:p>
            <w:r>
              <w:t xml:space="preserve">Cannot tell if quality is improving or degrading</w:t>
            </w:r>
          </w:p>
        </w:tc>
      </w:tr>
      <w:tr>
        <w:tc>
          <w:tcPr>
            <w:tcW w:w="3120" w:type="dxa"/>
          </w:tcPr>
          <w:p>
            <w:r>
              <w:rPr>
                <w:b/>
              </w:rPr>
              <w:t xml:space="preserve">4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TCPA attestation not built</w:t>
            </w:r>
          </w:p>
        </w:tc>
        <w:tc>
          <w:tcPr>
            <w:tcW w:w="3120" w:type="dxa"/>
          </w:tcPr>
          <w:p>
            <w:r>
              <w:t xml:space="preserve">The strongest control against the largest exposure doesn't exist yet</w:t>
            </w:r>
          </w:p>
        </w:tc>
      </w:tr>
      <w:tr>
        <w:tc>
          <w:tcPr>
            <w:tcW w:w="3120" w:type="dxa"/>
          </w:tcPr>
          <w:p>
            <w:r>
              <w:rPr>
                <w:b/>
              </w:rPr>
              <w:t xml:space="preserve">5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No security controls documented</w:t>
            </w:r>
          </w:p>
        </w:tc>
        <w:tc>
          <w:tcPr>
            <w:tcW w:w="3120" w:type="dxa"/>
          </w:tcPr>
          <w:p>
            <w:r>
              <w:t xml:space="preserve">Affects the cyber premium and the breach response</w:t>
            </w:r>
          </w:p>
        </w:tc>
      </w:tr>
      <w:tr>
        <w:tc>
          <w:tcPr>
            <w:tcW w:w="3120" w:type="dxa"/>
          </w:tcPr>
          <w:p>
            <w:r>
              <w:rPr>
                <w:b/>
              </w:rPr>
              <w:t xml:space="preserve">6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No succession documentation</w:t>
            </w:r>
          </w:p>
        </w:tc>
        <w:tc>
          <w:tcPr>
            <w:tcW w:w="3120" w:type="dxa"/>
          </w:tcPr>
          <w:p>
            <w:r>
              <w:t xml:space="preserve">Neither Ken nor Dil is replaceable today</w:t>
            </w:r>
          </w:p>
        </w:tc>
      </w:tr>
      <w:tr>
        <w:tc>
          <w:tcPr>
            <w:tcW w:w="3120" w:type="dxa"/>
          </w:tcPr>
          <w:p>
            <w:r>
              <w:rPr>
                <w:b/>
              </w:rPr>
              <w:t xml:space="preserve">7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Accelerant cadence not set</w:t>
            </w:r>
          </w:p>
        </w:tc>
        <w:tc>
          <w:tcPr>
            <w:tcW w:w="3120" w:type="dxa"/>
          </w:tcPr>
          <w:p>
            <w:r>
              <w:t xml:space="preserve">About to become contractual commitments</w:t>
            </w:r>
          </w:p>
        </w:tc>
      </w:tr>
      <w:tr>
        <w:tc>
          <w:tcPr>
            <w:tcW w:w="3120" w:type="dxa"/>
          </w:tcPr>
          <w:p>
            <w:r>
              <w:rPr>
                <w:b/>
              </w:rPr>
              <w:t xml:space="preserve">8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No insurance in force</w:t>
            </w:r>
          </w:p>
        </w:tc>
        <w:tc>
          <w:tcPr>
            <w:tcW w:w="3120" w:type="dxa"/>
          </w:tcPr>
          <w:p>
            <w:r>
              <w:t xml:space="preserve">Every transfer treatment above is theoretical</w:t>
            </w:r>
          </w:p>
        </w:tc>
      </w:tr>
    </w:tbl>
    <w:p>
      <w:r>
        <w:t xml:space="preserve"/>
      </w:r>
    </w:p>
    <w:p>
      <w:r>
        <w:rPr>
          <w:b/>
        </w:rPr>
        <w:t xml:space="preserve">Items 1, 4 and 8 are the ones I'd close before the first paying client.</w:t>
      </w:r>
    </w:p>
    <w:p>
      <w:pPr>
        <w:pBdr>
          <w:bottom w:val="single" w:sz="6" w:color="CCCCCC"/>
        </w:pBdr>
      </w:pPr>
    </w:p>
    <w:p>
      <w:pPr>
        <w:pStyle w:val="Heading1"/>
      </w:pPr>
      <w:r>
        <w:t xml:space="preserve">PART 4 — Treatment Summary</w:t>
      </w:r>
    </w:p>
    <w:tbl>
      <w:tblPr>
        <w:tblStyle w:val="TableGrid"/>
        <w:tblW w:w="9360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</w:tblPr>
      <w:tr>
        <w:tc>
          <w:tcPr>
            <w:tcW w:w="4680" w:type="dxa"/>
            <w:shd w:val="clear" w:color="auto" w:fill="EEF3F5"/>
          </w:tcPr>
          <w:p>
            <w:r>
              <w:rPr>
                <w:b/>
              </w:rPr>
              <w:t xml:space="preserve">Approach</w:t>
            </w:r>
          </w:p>
        </w:tc>
        <w:tc>
          <w:tcPr>
            <w:tcW w:w="4680" w:type="dxa"/>
            <w:shd w:val="clear" w:color="auto" w:fill="EEF3F5"/>
          </w:tcPr>
          <w:p>
            <w:r>
              <w:rPr>
                <w:b/>
              </w:rPr>
              <w:t xml:space="preserve">Applied to</w:t>
            </w:r>
          </w:p>
        </w:tc>
      </w:tr>
      <w:tr>
        <w:tc>
          <w:tcPr>
            <w:tcW w:w="4680" w:type="dxa"/>
          </w:tcPr>
          <w:p>
            <w:r>
              <w:rPr>
                <w:b/>
              </w:rPr>
              <w:t xml:space="preserve">Avoid</w:t>
            </w:r>
          </w:p>
        </w:tc>
        <w:tc>
          <w:tcPr>
            <w:tcW w:w="4680" w:type="dxa"/>
          </w:tcPr>
          <w:p>
            <w:r>
              <w:t xml:space="preserve">No cold email or SMS · no review gating · no after-hours-only trial · no purchased lists · no earnings claims</w:t>
            </w:r>
          </w:p>
        </w:tc>
      </w:tr>
      <w:tr>
        <w:tc>
          <w:tcPr>
            <w:tcW w:w="4680" w:type="dxa"/>
          </w:tcPr>
          <w:p>
            <w:r>
              <w:rPr>
                <w:b/>
              </w:rPr>
              <w:t xml:space="preserve">Reduce</w:t>
            </w:r>
          </w:p>
        </w:tc>
        <w:tc>
          <w:tcPr>
            <w:tcW w:w="4680" w:type="dxa"/>
          </w:tcPr>
          <w:p>
            <w:r>
              <w:t xml:space="preserve">Digit readback · AI scope rules · recording announcement · approval by exception · copy gate · decisions log · Retention Engine</w:t>
            </w:r>
          </w:p>
        </w:tc>
      </w:tr>
      <w:tr>
        <w:tc>
          <w:tcPr>
            <w:tcW w:w="4680" w:type="dxa"/>
          </w:tcPr>
          <w:p>
            <w:r>
              <w:rPr>
                <w:b/>
              </w:rPr>
              <w:t xml:space="preserve">Transfer</w:t>
            </w:r>
          </w:p>
        </w:tc>
        <w:tc>
          <w:tcPr>
            <w:tcW w:w="4680" w:type="dxa"/>
          </w:tcPr>
          <w:p>
            <w:r>
              <w:t xml:space="preserve">Tech E\&amp;O · cyber · media liability · </w:t>
            </w:r>
            <w:r>
              <w:rPr>
                <w:b/>
              </w:rPr>
              <w:t xml:space="preserve">contractual liability cap</w:t>
            </w:r>
            <w:r>
              <w:t xml:space="preserve"> · customer indemnities · arbitration and class waiver</w:t>
            </w:r>
          </w:p>
        </w:tc>
      </w:tr>
      <w:tr>
        <w:tc>
          <w:tcPr>
            <w:tcW w:w="4680" w:type="dxa"/>
          </w:tcPr>
          <w:p>
            <w:r>
              <w:rPr>
                <w:b/>
              </w:rPr>
              <w:t xml:space="preserve">Accept</w:t>
            </w:r>
          </w:p>
        </w:tc>
        <w:tc>
          <w:tcPr>
            <w:tcW w:w="4680" w:type="dxa"/>
          </w:tcPr>
          <w:p>
            <w:r>
              <w:t xml:space="preserve">Some vendor concentration · some AI error rate · market conditions</w:t>
            </w:r>
          </w:p>
        </w:tc>
      </w:tr>
    </w:tbl>
    <w:p>
      <w:r>
        <w:t xml:space="preserve"/>
      </w:r>
    </w:p>
    <w:p>
      <w:pPr>
        <w:pBdr>
          <w:bottom w:val="single" w:sz="6" w:color="CCCCCC"/>
        </w:pBdr>
      </w:pPr>
    </w:p>
    <w:p>
      <w:pPr>
        <w:pStyle w:val="Heading1"/>
      </w:pPr>
      <w:r>
        <w:t xml:space="preserve">PART 5 — Ownership and Review</w:t>
      </w:r>
    </w:p>
    <w:tbl>
      <w:tblPr>
        <w:tblStyle w:val="TableGrid"/>
        <w:tblW w:w="9360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</w:tblPr>
      <w:tr>
        <w:tc>
          <w:tcPr>
            <w:tcW w:w="4680" w:type="dxa"/>
            <w:shd w:val="clear" w:color="auto" w:fill="EEF3F5"/>
          </w:tcPr>
          <w:p>
            <w:r>
              <w:rPr>
                <w:b/>
              </w:rPr>
              <w:t xml:space="preserve">Risk area</w:t>
            </w:r>
          </w:p>
        </w:tc>
        <w:tc>
          <w:tcPr>
            <w:tcW w:w="4680" w:type="dxa"/>
            <w:shd w:val="clear" w:color="auto" w:fill="EEF3F5"/>
          </w:tcPr>
          <w:p>
            <w:r>
              <w:rPr>
                <w:b/>
              </w:rPr>
              <w:t xml:space="preserve">Owner</w:t>
            </w:r>
          </w:p>
        </w:tc>
      </w:tr>
      <w:tr>
        <w:tc>
          <w:tcPr>
            <w:tcW w:w="4680" w:type="dxa"/>
          </w:tcPr>
          <w:p>
            <w:r>
              <w:t xml:space="preserve">Product and AI behaviour</w:t>
            </w:r>
          </w:p>
        </w:tc>
        <w:tc>
          <w:tcPr>
            <w:tcW w:w="4680" w:type="dxa"/>
          </w:tcPr>
          <w:p>
            <w:r>
              <w:rPr>
                <w:b/>
              </w:rPr>
              <w:t xml:space="preserve">Dil</w:t>
            </w:r>
          </w:p>
        </w:tc>
      </w:tr>
      <w:tr>
        <w:tc>
          <w:tcPr>
            <w:tcW w:w="4680" w:type="dxa"/>
          </w:tcPr>
          <w:p>
            <w:r>
              <w:t xml:space="preserve">Compliance and marketing claims</w:t>
            </w:r>
          </w:p>
        </w:tc>
        <w:tc>
          <w:tcPr>
            <w:tcW w:w="4680" w:type="dxa"/>
          </w:tcPr>
          <w:p>
            <w:r>
              <w:rPr>
                <w:b/>
              </w:rPr>
              <w:t xml:space="preserve">Ken</w:t>
            </w:r>
            <w:r>
              <w:t xml:space="preserve">, with the copy gate</w:t>
            </w:r>
          </w:p>
        </w:tc>
      </w:tr>
      <w:tr>
        <w:tc>
          <w:tcPr>
            <w:tcW w:w="4680" w:type="dxa"/>
          </w:tcPr>
          <w:p>
            <w:r>
              <w:t xml:space="preserve">Delivery capacity and quality</w:t>
            </w:r>
          </w:p>
        </w:tc>
        <w:tc>
          <w:tcPr>
            <w:tcW w:w="4680" w:type="dxa"/>
          </w:tcPr>
          <w:p>
            <w:r>
              <w:rPr>
                <w:b/>
              </w:rPr>
              <w:t xml:space="preserve">Beth</w:t>
            </w:r>
          </w:p>
        </w:tc>
      </w:tr>
      <w:tr>
        <w:tc>
          <w:tcPr>
            <w:tcW w:w="4680" w:type="dxa"/>
          </w:tcPr>
          <w:p>
            <w:r>
              <w:t xml:space="preserve">Financial and pricing</w:t>
            </w:r>
          </w:p>
        </w:tc>
        <w:tc>
          <w:tcPr>
            <w:tcW w:w="4680" w:type="dxa"/>
          </w:tcPr>
          <w:p>
            <w:r>
              <w:rPr>
                <w:b/>
              </w:rPr>
              <w:t xml:space="preserve">Ken / Sterling</w:t>
            </w:r>
          </w:p>
        </w:tc>
      </w:tr>
      <w:tr>
        <w:tc>
          <w:tcPr>
            <w:tcW w:w="4680" w:type="dxa"/>
          </w:tcPr>
          <w:p>
            <w:r>
              <w:t xml:space="preserve">Insurance and contracts</w:t>
            </w:r>
          </w:p>
        </w:tc>
        <w:tc>
          <w:tcPr>
            <w:tcW w:w="4680" w:type="dxa"/>
          </w:tcPr>
          <w:p>
            <w:r>
              <w:rPr>
                <w:b/>
              </w:rPr>
              <w:t xml:space="preserve">Ken</w:t>
            </w:r>
          </w:p>
        </w:tc>
      </w:tr>
    </w:tbl>
    <w:p>
      <w:r>
        <w:t xml:space="preserve"/>
      </w:r>
    </w:p>
    <w:p>
      <w:r>
        <w:rPr>
          <w:b/>
        </w:rPr>
        <w:t xml:space="preserve">Review cadence:</w:t>
      </w:r>
      <w:r>
        <w:t xml:space="preserve"> monthly for Tier 1 and 2 · quarterly for the full register · </w:t>
      </w:r>
      <w:r>
        <w:rPr>
          <w:b/>
        </w:rPr>
        <w:t xml:space="preserve">immediately on any Tier 1 event</w:t>
      </w:r>
    </w:p>
    <w:p>
      <w:r>
        <w:rPr>
          <w:b/>
        </w:rPr>
        <w:t xml:space="preserve">A risk is added whenever something goes wrong that isn't already on the list.</w:t>
      </w:r>
      <w:r>
        <w:t xml:space="preserve"> Part 1 is how this document stays honest.</w:t>
      </w:r>
    </w:p>
    <w:p>
      <w:pPr>
        <w:pBdr>
          <w:bottom w:val="single" w:sz="6" w:color="CCCCCC"/>
        </w:pBdr>
      </w:pPr>
    </w:p>
    <w:p>
      <w:pPr>
        <w:pStyle w:val="Heading1"/>
      </w:pPr>
      <w:r>
        <w:t xml:space="preserve">PART 6 — Procedures Required</w:t>
      </w:r>
    </w:p>
    <w:p>
      <w:r>
        <w:rPr>
          <w:b/>
        </w:rPr>
        <w:t xml:space="preserve">A risk plan without procedures is a list of worries.</w:t>
      </w:r>
      <w:r>
        <w:t xml:space="preserve"> These are the runbooks that make the controls real, in order of urgency.</w:t>
      </w:r>
    </w:p>
    <w:p>
      <w:pPr>
        <w:pStyle w:val="Heading2"/>
      </w:pPr>
      <w:r>
        <w:t xml:space="preserve">Before the first paying client</w:t>
      </w:r>
    </w:p>
    <w:tbl>
      <w:tblPr>
        <w:tblStyle w:val="TableGrid"/>
        <w:tblW w:w="9360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</w:tblPr>
      <w:tr>
        <w:tc>
          <w:tcPr>
            <w:tcW w:w="3120" w:type="dxa"/>
            <w:shd w:val="clear" w:color="auto" w:fill="EEF3F5"/>
          </w:tcPr>
          <w:p>
            <w:r>
              <w:rPr>
                <w:b/>
              </w:rPr>
              <w:t xml:space="preserve">\#</w:t>
            </w:r>
          </w:p>
        </w:tc>
        <w:tc>
          <w:tcPr>
            <w:tcW w:w="3120" w:type="dxa"/>
            <w:shd w:val="clear" w:color="auto" w:fill="EEF3F5"/>
          </w:tcPr>
          <w:p>
            <w:r>
              <w:rPr>
                <w:b/>
              </w:rPr>
              <w:t xml:space="preserve">Procedure</w:t>
            </w:r>
          </w:p>
        </w:tc>
        <w:tc>
          <w:tcPr>
            <w:tcW w:w="3120" w:type="dxa"/>
            <w:shd w:val="clear" w:color="auto" w:fill="EEF3F5"/>
          </w:tcPr>
          <w:p>
            <w:r>
              <w:rPr>
                <w:b/>
              </w:rPr>
              <w:t xml:space="preserve">Closes</w:t>
            </w:r>
          </w:p>
        </w:tc>
      </w:tr>
      <w:tr>
        <w:tc>
          <w:tcPr>
            <w:tcW w:w="3120" w:type="dxa"/>
          </w:tcPr>
          <w:p>
            <w:r>
              <w:rPr>
                <w:b/>
              </w:rPr>
              <w:t xml:space="preserve">P1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Outage response</w:t>
            </w:r>
            <w:r>
              <w:t xml:space="preserve"> — what happens to calls, who is notified, how, and how fast</w:t>
            </w:r>
          </w:p>
        </w:tc>
        <w:tc>
          <w:tcPr>
            <w:tcW w:w="3120" w:type="dxa"/>
          </w:tcPr>
          <w:p>
            <w:r>
              <w:t xml:space="preserve">R6, Gap 1</w:t>
            </w:r>
          </w:p>
        </w:tc>
      </w:tr>
      <w:tr>
        <w:tc>
          <w:tcPr>
            <w:tcW w:w="3120" w:type="dxa"/>
          </w:tcPr>
          <w:p>
            <w:r>
              <w:rPr>
                <w:b/>
              </w:rPr>
              <w:t xml:space="preserve">P2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Josh error correction</w:t>
            </w:r>
            <w:r>
              <w:t xml:space="preserve"> — customer reports a wrong address, price or booking. Who fixes it, in what time, what the customer is told</w:t>
            </w:r>
          </w:p>
        </w:tc>
        <w:tc>
          <w:tcPr>
            <w:tcW w:w="3120" w:type="dxa"/>
          </w:tcPr>
          <w:p>
            <w:r>
              <w:t xml:space="preserve">R5, Gap 3</w:t>
            </w:r>
          </w:p>
        </w:tc>
      </w:tr>
      <w:tr>
        <w:tc>
          <w:tcPr>
            <w:tcW w:w="3120" w:type="dxa"/>
          </w:tcPr>
          <w:p>
            <w:r>
              <w:rPr>
                <w:b/>
              </w:rPr>
              <w:t xml:space="preserve">P3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New client onboarding</w:t>
            </w:r>
            <w:r>
              <w:t xml:space="preserve"> — the White Glove checklist, including the port, the calendar cutover, and go-live verification</w:t>
            </w:r>
          </w:p>
        </w:tc>
        <w:tc>
          <w:tcPr>
            <w:tcW w:w="3120" w:type="dxa"/>
          </w:tcPr>
          <w:p>
            <w:r>
              <w:t xml:space="preserve">R9, R15</w:t>
            </w:r>
          </w:p>
        </w:tc>
      </w:tr>
      <w:tr>
        <w:tc>
          <w:tcPr>
            <w:tcW w:w="3120" w:type="dxa"/>
          </w:tcPr>
          <w:p>
            <w:r>
              <w:rPr>
                <w:b/>
              </w:rPr>
              <w:t xml:space="preserve">P4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Pre-publication check</w:t>
            </w:r>
            <w:r>
              <w:t xml:space="preserve"> — the short list every piece of public copy passes before it ships</w:t>
            </w:r>
          </w:p>
        </w:tc>
        <w:tc>
          <w:tcPr>
            <w:tcW w:w="3120" w:type="dxa"/>
          </w:tcPr>
          <w:p>
            <w:r>
              <w:t xml:space="preserve">R8</w:t>
            </w:r>
          </w:p>
        </w:tc>
      </w:tr>
      <w:tr>
        <w:tc>
          <w:tcPr>
            <w:tcW w:w="3120" w:type="dxa"/>
          </w:tcPr>
          <w:p>
            <w:r>
              <w:rPr>
                <w:b/>
              </w:rPr>
              <w:t xml:space="preserve">P5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Incident response</w:t>
            </w:r>
            <w:r>
              <w:t xml:space="preserve"> — breach, data loss, or a security event</w:t>
            </w:r>
          </w:p>
        </w:tc>
        <w:tc>
          <w:tcPr>
            <w:tcW w:w="3120" w:type="dxa"/>
          </w:tcPr>
          <w:p>
            <w:r>
              <w:t xml:space="preserve">R2, Gap 2</w:t>
            </w:r>
          </w:p>
        </w:tc>
      </w:tr>
    </w:tbl>
    <w:p>
      <w:r>
        <w:t xml:space="preserve"/>
      </w:r>
    </w:p>
    <w:p>
      <w:pPr>
        <w:pStyle w:val="Heading2"/>
      </w:pPr>
      <w:r>
        <w:t xml:space="preserve">Within the first quarter</w:t>
      </w:r>
    </w:p>
    <w:tbl>
      <w:tblPr>
        <w:tblStyle w:val="TableGrid"/>
        <w:tblW w:w="9360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</w:tblPr>
      <w:tr>
        <w:tc>
          <w:tcPr>
            <w:tcW w:w="3120" w:type="dxa"/>
            <w:shd w:val="clear" w:color="auto" w:fill="EEF3F5"/>
          </w:tcPr>
          <w:p>
            <w:r>
              <w:rPr>
                <w:b/>
              </w:rPr>
              <w:t xml:space="preserve">\#</w:t>
            </w:r>
          </w:p>
        </w:tc>
        <w:tc>
          <w:tcPr>
            <w:tcW w:w="3120" w:type="dxa"/>
            <w:shd w:val="clear" w:color="auto" w:fill="EEF3F5"/>
          </w:tcPr>
          <w:p>
            <w:r>
              <w:rPr>
                <w:b/>
              </w:rPr>
              <w:t xml:space="preserve">Procedure</w:t>
            </w:r>
          </w:p>
        </w:tc>
        <w:tc>
          <w:tcPr>
            <w:tcW w:w="3120" w:type="dxa"/>
            <w:shd w:val="clear" w:color="auto" w:fill="EEF3F5"/>
          </w:tcPr>
          <w:p>
            <w:r>
              <w:rPr>
                <w:b/>
              </w:rPr>
              <w:t xml:space="preserve">Closes</w:t>
            </w:r>
          </w:p>
        </w:tc>
      </w:tr>
      <w:tr>
        <w:tc>
          <w:tcPr>
            <w:tcW w:w="3120" w:type="dxa"/>
          </w:tcPr>
          <w:p>
            <w:r>
              <w:rPr>
                <w:b/>
              </w:rPr>
              <w:t xml:space="preserve">P6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Quality monitoring</w:t>
            </w:r>
            <w:r>
              <w:t xml:space="preserve"> — sampling live transcripts, measuring the error rate, tracking it</w:t>
            </w:r>
          </w:p>
        </w:tc>
        <w:tc>
          <w:tcPr>
            <w:tcW w:w="3120" w:type="dxa"/>
          </w:tcPr>
          <w:p>
            <w:r>
              <w:t xml:space="preserve">R5, R7</w:t>
            </w:r>
          </w:p>
        </w:tc>
      </w:tr>
      <w:tr>
        <w:tc>
          <w:tcPr>
            <w:tcW w:w="3120" w:type="dxa"/>
          </w:tcPr>
          <w:p>
            <w:r>
              <w:rPr>
                <w:b/>
              </w:rPr>
              <w:t xml:space="preserve">P7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Complaint and dispute handling</w:t>
            </w:r>
            <w:r>
              <w:t xml:space="preserve"> — including anything involving money or a live client</w:t>
            </w:r>
          </w:p>
        </w:tc>
        <w:tc>
          <w:tcPr>
            <w:tcW w:w="3120" w:type="dxa"/>
          </w:tcPr>
          <w:p>
            <w:r>
              <w:t xml:space="preserve">R13</w:t>
            </w:r>
          </w:p>
        </w:tc>
      </w:tr>
      <w:tr>
        <w:tc>
          <w:tcPr>
            <w:tcW w:w="3120" w:type="dxa"/>
          </w:tcPr>
          <w:p>
            <w:r>
              <w:rPr>
                <w:b/>
              </w:rPr>
              <w:t xml:space="preserve">P8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Change control for AI instructions</w:t>
            </w:r>
            <w:r>
              <w:t xml:space="preserve"> — a rule reaches every agent and every language, and is verified</w:t>
            </w:r>
          </w:p>
        </w:tc>
        <w:tc>
          <w:tcPr>
            <w:tcW w:w="3120" w:type="dxa"/>
          </w:tcPr>
          <w:p>
            <w:r>
              <w:t xml:space="preserve">R7, R16, E3</w:t>
            </w:r>
          </w:p>
        </w:tc>
      </w:tr>
      <w:tr>
        <w:tc>
          <w:tcPr>
            <w:tcW w:w="3120" w:type="dxa"/>
          </w:tcPr>
          <w:p>
            <w:r>
              <w:rPr>
                <w:b/>
              </w:rPr>
              <w:t xml:space="preserve">P9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Churn monitoring and exit interview</w:t>
            </w:r>
          </w:p>
        </w:tc>
        <w:tc>
          <w:tcPr>
            <w:tcW w:w="3120" w:type="dxa"/>
          </w:tcPr>
          <w:p>
            <w:r>
              <w:t xml:space="preserve">R10</w:t>
            </w:r>
          </w:p>
        </w:tc>
      </w:tr>
      <w:tr>
        <w:tc>
          <w:tcPr>
            <w:tcW w:w="3120" w:type="dxa"/>
          </w:tcPr>
          <w:p>
            <w:r>
              <w:rPr>
                <w:b/>
              </w:rPr>
              <w:t xml:space="preserve">P10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Accelerant delivery checklists</w:t>
            </w:r>
            <w:r>
              <w:t xml:space="preserve"> — one per accelerant, matching the contractual scope</w:t>
            </w:r>
          </w:p>
        </w:tc>
        <w:tc>
          <w:tcPr>
            <w:tcW w:w="3120" w:type="dxa"/>
          </w:tcPr>
          <w:p>
            <w:r>
              <w:t xml:space="preserve">R9</w:t>
            </w:r>
          </w:p>
        </w:tc>
      </w:tr>
    </w:tbl>
    <w:p>
      <w:r>
        <w:t xml:space="preserve"/>
      </w:r>
    </w:p>
    <w:p>
      <w:pPr>
        <w:pStyle w:val="Heading2"/>
      </w:pPr>
      <w:r>
        <w:t xml:space="preserve">Before scale</w:t>
      </w:r>
    </w:p>
    <w:tbl>
      <w:tblPr>
        <w:tblStyle w:val="TableGrid"/>
        <w:tblW w:w="9360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</w:tblPr>
      <w:tr>
        <w:tc>
          <w:tcPr>
            <w:tcW w:w="3120" w:type="dxa"/>
            <w:shd w:val="clear" w:color="auto" w:fill="EEF3F5"/>
          </w:tcPr>
          <w:p>
            <w:r>
              <w:rPr>
                <w:b/>
              </w:rPr>
              <w:t xml:space="preserve">\#</w:t>
            </w:r>
          </w:p>
        </w:tc>
        <w:tc>
          <w:tcPr>
            <w:tcW w:w="3120" w:type="dxa"/>
            <w:shd w:val="clear" w:color="auto" w:fill="EEF3F5"/>
          </w:tcPr>
          <w:p>
            <w:r>
              <w:rPr>
                <w:b/>
              </w:rPr>
              <w:t xml:space="preserve">Procedure</w:t>
            </w:r>
          </w:p>
        </w:tc>
        <w:tc>
          <w:tcPr>
            <w:tcW w:w="3120" w:type="dxa"/>
            <w:shd w:val="clear" w:color="auto" w:fill="EEF3F5"/>
          </w:tcPr>
          <w:p>
            <w:r>
              <w:rPr>
                <w:b/>
              </w:rPr>
              <w:t xml:space="preserve">Closes</w:t>
            </w:r>
          </w:p>
        </w:tc>
      </w:tr>
      <w:tr>
        <w:tc>
          <w:tcPr>
            <w:tcW w:w="3120" w:type="dxa"/>
          </w:tcPr>
          <w:p>
            <w:r>
              <w:rPr>
                <w:b/>
              </w:rPr>
              <w:t xml:space="preserve">P11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Vendor review</w:t>
            </w:r>
            <w:r>
              <w:t xml:space="preserve"> — annual assessment of each dependency and its exit path</w:t>
            </w:r>
          </w:p>
        </w:tc>
        <w:tc>
          <w:tcPr>
            <w:tcW w:w="3120" w:type="dxa"/>
          </w:tcPr>
          <w:p>
            <w:r>
              <w:t xml:space="preserve">R4</w:t>
            </w:r>
          </w:p>
        </w:tc>
      </w:tr>
      <w:tr>
        <w:tc>
          <w:tcPr>
            <w:tcW w:w="3120" w:type="dxa"/>
          </w:tcPr>
          <w:p>
            <w:r>
              <w:rPr>
                <w:b/>
              </w:rPr>
              <w:t xml:space="preserve">P12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Succession and documentation</w:t>
            </w:r>
            <w:r>
              <w:t xml:space="preserve"> — architecture, credentials, and continuity</w:t>
            </w:r>
          </w:p>
        </w:tc>
        <w:tc>
          <w:tcPr>
            <w:tcW w:w="3120" w:type="dxa"/>
          </w:tcPr>
          <w:p>
            <w:r>
              <w:t xml:space="preserve">R3</w:t>
            </w:r>
          </w:p>
        </w:tc>
      </w:tr>
      <w:tr>
        <w:tc>
          <w:tcPr>
            <w:tcW w:w="3120" w:type="dxa"/>
          </w:tcPr>
          <w:p>
            <w:r>
              <w:rPr>
                <w:b/>
              </w:rPr>
              <w:t xml:space="preserve">P13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Quarterly compliance audit</w:t>
            </w:r>
            <w:r>
              <w:t xml:space="preserve"> — live site, agent knowledge, contract alignment</w:t>
            </w:r>
          </w:p>
        </w:tc>
        <w:tc>
          <w:tcPr>
            <w:tcW w:w="3120" w:type="dxa"/>
          </w:tcPr>
          <w:p>
            <w:r>
              <w:t xml:space="preserve">R8, R14</w:t>
            </w:r>
          </w:p>
        </w:tc>
      </w:tr>
    </w:tbl>
    <w:p>
      <w:r>
        <w:t xml:space="preserve"/>
      </w:r>
    </w:p>
    <w:p>
      <w:pPr>
        <w:pBdr>
          <w:bottom w:val="single" w:sz="6" w:color="CCCCCC"/>
        </w:pBdr>
      </w:pPr>
    </w:p>
    <w:p>
      <w:pPr>
        <w:pStyle w:val="Heading2"/>
      </w:pPr>
      <w:r>
        <w:t xml:space="preserve">What I'd do first</w:t>
      </w:r>
    </w:p>
    <w:p>
      <w:r>
        <w:rPr>
          <w:b/>
        </w:rPr>
        <w:t xml:space="preserve">P1, P2 and P4</w:t>
      </w:r>
      <w:r>
        <w:t xml:space="preserve"> — and P1 unblocks the contract, the sales conversation and the insurance submission at the same time.</w:t>
      </w:r>
    </w:p>
    <w:p>
      <w:r>
        <w:rPr>
          <w:b/>
        </w:rPr>
        <w:t xml:space="preserve">Say which one you want written and I'll draft it.</w:t>
      </w:r>
      <w:r>
        <w:t xml:space="preserve"> They're short documents, and the point is that somebody can follow them at 9 pm without calling you.</w:t>
      </w:r>
    </w:p>
    <w:sectPr>
      <w:pgSz w:w="12240" w:h="15840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>
  <w:abstractNum w:abstractNumId="1">
    <w:lvl w:ilvl="0">
      <w:start w:val="1"/>
      <w:numFmt w:val="bullet"/>
      <w:lvlText w:val="•"/>
      <w:pPr>
        <w:ind w:left="720" w:hanging="360"/>
      </w:pPr>
    </w:lvl>
  </w:abstractNum>
  <w:abstractNum w:abstractNumId="2">
    <w:lvl w:ilvl="0">
      <w:start w:val="1"/>
      <w:numFmt w:val="decimal"/>
      <w:lvlText w:val="%1."/>
      <w:pPr>
        <w:ind w:left="720" w:hanging="360"/>
      </w:pPr>
    </w:lvl>
  </w:abstractNum>
  <w:num w:numId="1">
    <w:abstractNumId w:val="1"/>
  </w:num>
  <w:num w:numId="2">
    <w:abstractNumId w:val="2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</w:docDefaults>
  <w:style w:type="paragraph" w:default="1" w:styleId="Normal">
    <w:name w:val="Normal"/>
    <w:pPr>
      <w:spacing w:after="140" w:line="276" w:lineRule="auto"/>
    </w:pPr>
  </w:style>
  <w:style w:type="paragraph" w:styleId="Heading1">
    <w:name w:val="Heading 1"/>
    <w:basedOn w:val="Normal"/>
    <w:pPr>
      <w:outlineLvl w:val="0"/>
      <w:spacing w:before="280" w:after="120"/>
    </w:pPr>
    <w:rPr>
      <w:b/>
      <w:color w:val="0D1B2A"/>
      <w:sz w:val="40"/>
    </w:rPr>
  </w:style>
  <w:style w:type="paragraph" w:styleId="Heading2">
    <w:name w:val="Heading 2"/>
    <w:basedOn w:val="Normal"/>
    <w:pPr>
      <w:outlineLvl w:val="1"/>
      <w:spacing w:before="240" w:after="120"/>
    </w:pPr>
    <w:rPr>
      <w:b/>
      <w:color w:val="0D1B2A"/>
      <w:sz w:val="30"/>
    </w:rPr>
  </w:style>
  <w:style w:type="paragraph" w:styleId="Heading3">
    <w:name w:val="Heading 3"/>
    <w:basedOn w:val="Normal"/>
    <w:pPr>
      <w:outlineLvl w:val="2"/>
      <w:spacing w:before="200" w:after="120"/>
    </w:pPr>
    <w:rPr>
      <w:b/>
      <w:color w:val="0D1B2A"/>
      <w:sz w:val="25"/>
    </w:rPr>
  </w:style>
  <w:style w:type="paragraph" w:styleId="Heading4">
    <w:name w:val="Heading 4"/>
    <w:basedOn w:val="Normal"/>
    <w:pPr>
      <w:outlineLvl w:val="3"/>
      <w:spacing w:before="160" w:after="120"/>
    </w:pPr>
    <w:rPr>
      <w:b/>
      <w:color w:val="0D1B2A"/>
      <w:sz w:val="23"/>
    </w:rPr>
  </w:style>
  <w:style w:type="paragraph" w:styleId="Quote">
    <w:name w:val="Quote"/>
    <w:basedOn w:val="Normal"/>
    <w:pPr>
      <w:pBdr>
        <w:left w:val="single" w:sz="18" w:color="1C8F7C"/>
      </w:pBdr>
    </w:pPr>
    <w:rPr>
      <w:i/>
      <w:color w:val="334455"/>
    </w:rPr>
  </w:style>
  <w:style w:type="paragraph" w:styleId="Code">
    <w:name w:val="Code"/>
    <w:basedOn w:val="Normal"/>
    <w:pPr>
      <w:spacing w:after="0"/>
      <w:shd w:val="clear" w:fill="F2F5F6"/>
    </w:pPr>
    <w:rPr>
      <w:rFonts w:ascii="Consolas" w:hAnsi="Consolas"/>
      <w:sz w:val="19"/>
    </w:rPr>
  </w:style>
  <w:style w:type="table" w:styleId="TableGrid">
    <w:name w:val="Table Grid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
</Relationships>
</file>