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A draft MSA for Ken to correct</w:t>
      </w:r>
    </w:p>
    <w:p>
      <w:r>
        <w:rPr>
          <w:i/>
        </w:rPr>
        <w:t xml:space="preserve">For Ken, via Dil. Written 2026-08-17. </w:t>
      </w:r>
      <w:r>
        <w:rPr>
          <w:i/>
        </w:rPr>
        <w:t xml:space="preserve">Not legal advice, not been to a lawyer, and not in force.</w:t>
      </w:r>
      <w:r>
        <w:rPr>
          <w:i/>
        </w:rPr>
        <w:t xml:space="preserve"> Strike through what is wrong and send it back.</w:t>
      </w:r>
    </w:p>
    <w:p>
      <w:pPr>
        <w:pBdr>
          <w:bottom w:val="single" w:sz="6" w:color="CCCCCC"/>
        </w:pBdr>
      </w:pPr>
    </w:p>
    <w:p>
      <w:pPr>
        <w:pStyle w:val="Heading2"/>
      </w:pPr>
      <w:r>
        <w:t xml:space="preserve">Why you are reading a draft instead of your own document</w:t>
      </w:r>
    </w:p>
    <w:p>
      <w:r>
        <w:t xml:space="preserve">Ken said he needed a day to write these. </w:t>
      </w:r>
      <w:r>
        <w:rPr>
          <w:b/>
        </w:rPr>
        <w:t xml:space="preserve">A draft you can cross out is a shorter day than a blank page</w:t>
      </w:r>
      <w:r>
        <w:t xml:space="preserve">, so Dil asked for one.</w:t>
      </w:r>
    </w:p>
    <w:p>
      <w:r>
        <w:t xml:space="preserve">⚠️ </w:t>
      </w:r>
      <w:r>
        <w:rPr>
          <w:b/>
        </w:rPr>
        <w:t xml:space="preserve">Two things I could not do and did not fake.</w:t>
      </w:r>
      <w:r>
        <w:t xml:space="preserve"> I have never seen Customer Agreement v5 — it is not in the repo and not published anywhere I can reach, so these clauses are </w:t>
      </w:r>
      <w:r>
        <w:rPr>
          <w:b/>
        </w:rPr>
        <w:t xml:space="preserve">not</w:t>
      </w:r>
      <w:r>
        <w:t xml:space="preserve"> extracted from it. And I am not a lawyer. What I </w:t>
      </w:r>
      <w:r>
        <w:rPr>
          <w:i/>
        </w:rPr>
        <w:t xml:space="preserve">can</w:t>
      </w:r>
      <w:r>
        <w:t xml:space="preserve"> be accurate about is </w:t>
      </w:r>
      <w:r>
        <w:rPr>
          <w:b/>
        </w:rPr>
        <w:t xml:space="preserve">what the system actually does</w:t>
      </w:r>
      <w:r>
        <w:t xml:space="preserve">, and every clause below is written from that.</w:t>
      </w:r>
    </w:p>
    <w:p>
      <w:r>
        <w:rPr>
          <w:b/>
        </w:rPr>
        <w:t xml:space="preserve">Where each one came from:</w:t>
      </w:r>
      <w:r>
        <w:t xml:space="preserve"> the four exposures already identified on the launch board, in the replies to </w:t>
      </w:r>
      <w:r>
        <w:rPr>
          <w:i/>
        </w:rPr>
        <w:t xml:space="preserve">"MSA Needs To Be Reworked For Booked Solid"</w:t>
      </w:r>
      <w:r>
        <w:t xml:space="preserve"> — by the people who found them, not by me inventing risks.</w:t>
      </w:r>
    </w:p>
    <w:p>
      <w:r>
        <w:rPr>
          <w:b/>
        </w:rPr>
        <w:t xml:space="preserve">There are four and you said two or three.</w:t>
      </w:r>
      <w:r>
        <w:t xml:space="preserve"> That is deliberate: crossing one out is a minute's work, inventing a fifth is not.</w:t>
      </w:r>
    </w:p>
    <w:p>
      <w:pPr>
        <w:pBdr>
          <w:bottom w:val="single" w:sz="6" w:color="CCCCCC"/>
        </w:pBdr>
      </w:pPr>
    </w:p>
    <w:p>
      <w:pPr>
        <w:pStyle w:val="Heading2"/>
      </w:pPr>
      <w:r>
        <w:t xml:space="preserve">How to see them</w:t>
      </w:r>
    </w:p>
    <w:p>
      <w:r>
        <w:t xml:space="preserve">They render on the real page, in the real layout, with the real button behaviour:</w:t>
      </w:r>
    </w:p>
    <w:p>
      <w:pPr>
        <w:pStyle w:val="Code"/>
      </w:pPr>
      <w:r>
        <w:t xml:space="preserve">MSA_DRAFT_PREVIEW=true   in the server .env, then: pm2 restart q</w:t>
      </w:r>
    </w:p>
    <w:p>
      <w:r>
        <w:t xml:space="preserve">Then open </w:t>
      </w:r>
      <w:r>
        <w:rPr>
          <w:b/>
        </w:rPr>
        <w:t xml:space="preserve">`bookedsolidinspector.com/enroll.html`</w:t>
      </w:r>
      <w:r>
        <w:t xml:space="preserve">.</w:t>
      </w:r>
    </w:p>
    <w:p>
      <w:pPr>
        <w:pStyle w:val="Quote"/>
        <w:ind w:left="480"/>
      </w:pPr>
      <w:r>
        <w:t xml:space="preserve">⚠️ </w:t>
      </w:r>
      <w:r>
        <w:rPr>
          <w:b/>
        </w:rPr>
        <w:t xml:space="preserve">While that switch is on, NOBODY CAN ENROLL.</w:t>
      </w:r>
      <w:r>
        <w:t xml:space="preserve"> The server refuses every checkout and shows </w:t>
      </w:r>
      <w:r>
        <w:rPr>
          <w:i/>
        </w:rPr>
        <w:t xml:space="preserve">"Enrollment is paused while the Master Service Agreement is being reviewed."</w:t>
      </w:r>
      <w:r>
        <w:t xml:space="preserve"> That is deliberate — it means the draft can sit on the live page for you to read without a customer being able to agree to wording nobody approved. </w:t>
      </w:r>
      <w:r>
        <w:rPr>
          <w:b/>
        </w:rPr>
        <w:t xml:space="preserve">Turn it off when you are done.</w:t>
      </w:r>
      <w:r>
        <w:t xml:space="preserve"> It is a review switch, not a soft launch.</w:t>
      </w:r>
    </w:p>
    <w:p>
      <w:r>
        <w:t xml:space="preserve">You will also see a dark red </w:t>
      </w:r>
      <w:r>
        <w:rPr>
          <w:b/>
        </w:rPr>
        <w:t xml:space="preserve">DRAFT — not in force</w:t>
      </w:r>
      <w:r>
        <w:t xml:space="preserve"> banner above the boxes. If you can see the clauses and not the banner, something is wrong; tell me.</w:t>
      </w:r>
    </w:p>
    <w:p>
      <w:pPr>
        <w:pBdr>
          <w:bottom w:val="single" w:sz="6" w:color="CCCCCC"/>
        </w:pBdr>
      </w:pPr>
    </w:p>
    <w:p>
      <w:pPr>
        <w:pStyle w:val="Heading1"/>
      </w:pPr>
      <w:r>
        <w:t xml:space="preserve">The four clauses</w:t>
      </w:r>
    </w:p>
    <w:p>
      <w:pPr>
        <w:pStyle w:val="Heading2"/>
      </w:pPr>
      <w:r>
        <w:t xml:space="preserve">☑ 1 · Service availability</w:t>
      </w:r>
    </w:p>
    <w:p>
      <w:pPr>
        <w:pStyle w:val="Quote"/>
        <w:ind w:left="480"/>
      </w:pPr>
      <w:r>
        <w:t xml:space="preserve">I understand that Booked Solid Inspector does not promise a specific uptime figure, and that if the service is unavailable my calls are forwarded to the backup number I provide during setup. I understand that if I do not provide a backup number, there is nowhere for those calls to go.</w:t>
      </w:r>
    </w:p>
    <w:p>
      <w:r>
        <w:rPr>
          <w:b/>
        </w:rPr>
        <w:t xml:space="preserve">Why it is worded that way.</w:t>
      </w:r>
      <w:r>
        <w:t xml:space="preserve"> This is §6.2 — the clause that is </w:t>
      </w:r>
      <w:r>
        <w:rPr>
          <w:b/>
        </w:rPr>
        <w:t xml:space="preserve">blank</w:t>
      </w:r>
      <w:r>
        <w:t xml:space="preserve"> in v5. The recommendation on the board, 10 August, was to name </w:t>
      </w:r>
      <w:r>
        <w:rPr>
          <w:b/>
        </w:rPr>
        <w:t xml:space="preserve">no uptime percentage</w:t>
      </w:r>
      <w:r>
        <w:t xml:space="preserve">:</w:t>
      </w:r>
    </w:p>
    <w:p>
      <w:pPr>
        <w:pStyle w:val="Quote"/>
        <w:ind w:left="480"/>
      </w:pPr>
      <w:r>
        <w:rPr>
          <w:i/>
        </w:rPr>
        <w:t xml:space="preserve">"We have no uptime measurement at all, so any figure is one we could not defend and a client would hold us to. The agreement should describe </w:t>
      </w:r>
      <w:r>
        <w:rPr>
          <w:i/>
        </w:rPr>
        <w:t xml:space="preserve">what happens</w:t>
      </w:r>
      <w:r>
        <w:rPr>
          <w:i/>
        </w:rPr>
        <w:t xml:space="preserve"> — calls transfer to a number you choose — rather than promise a number."</w:t>
      </w:r>
    </w:p>
    <w:p>
      <w:r>
        <w:rPr>
          <w:b/>
        </w:rPr>
        <w:t xml:space="preserve">Everything it describes is real.</w:t>
      </w:r>
      <w:r>
        <w:t xml:space="preserve"> The failover was proven on 8 August against a dead stream host: the call carried past the failed connection in </w:t>
      </w:r>
      <w:r>
        <w:rPr>
          <w:b/>
        </w:rPr>
        <w:t xml:space="preserve">4 milliseconds</w:t>
      </w:r>
      <w:r>
        <w:t xml:space="preserve"> and the second leg connected. The backup number is the one the client gives on the onboarding form.</w:t>
      </w:r>
    </w:p>
    <w:p>
      <w:r>
        <w:t xml:space="preserve">⚠️ </w:t>
      </w:r>
      <w:r>
        <w:rPr>
          <w:b/>
        </w:rPr>
        <w:t xml:space="preserve">The second sentence is the important one and it is currently true of everybody.</w:t>
      </w:r>
      <w:r>
        <w:t xml:space="preserve"> Neither Chad nor Ted has submitted an onboarding form, so neither has a backup number recorded, so neither has failover. The clause makes that the client's responsibility, which is fair — but it also means the setup checklist has to chase it.</w:t>
      </w:r>
    </w:p>
    <w:p>
      <w:pPr>
        <w:pBdr>
          <w:bottom w:val="single" w:sz="6" w:color="CCCCCC"/>
        </w:pBdr>
      </w:pPr>
    </w:p>
    <w:p>
      <w:pPr>
        <w:pStyle w:val="Heading2"/>
      </w:pPr>
      <w:r>
        <w:t xml:space="preserve">☑ 2 · Contact lists</w:t>
      </w:r>
    </w:p>
    <w:p>
      <w:pPr>
        <w:pStyle w:val="Quote"/>
        <w:ind w:left="480"/>
      </w:pPr>
      <w:r>
        <w:t xml:space="preserve">I confirm that I have permission to contact every person on any list I provide, that I am responsible for how those contacts were obtained, and that messages sent through Booked Solid Inspector go out under my name and on my behalf.</w:t>
      </w:r>
    </w:p>
    <w:p>
      <w:r>
        <w:rPr>
          <w:b/>
        </w:rPr>
        <w:t xml:space="preserve">Your own words on why</w:t>
      </w:r>
      <w:r>
        <w:t xml:space="preserve">, from the 11 August spec:</w:t>
      </w:r>
    </w:p>
    <w:p>
      <w:pPr>
        <w:pStyle w:val="Quote"/>
        <w:ind w:left="480"/>
      </w:pPr>
      <w:r>
        <w:rPr>
          <w:i/>
        </w:rPr>
        <w:t xml:space="preserve">"Damages run $500–$1,500 per message. A client uploading a purchased list of 5,000 contacts creates seven figures of theoretical exposure — sending under his name, from your infrastructure."</w:t>
      </w:r>
    </w:p>
    <w:p>
      <w:r>
        <w:t xml:space="preserve">⚠️ </w:t>
      </w:r>
      <w:r>
        <w:rPr>
          <w:b/>
        </w:rPr>
        <w:t xml:space="preserve">This does not replace the tick-box at upload, and both should stay.</w:t>
      </w:r>
      <w:r>
        <w:t xml:space="preserve"> The upload already blocks without an attestation and stores the wording, the file name, the row count, the timestamp and the IP. Your own rule is that a dated consent </w:t>
      </w:r>
      <w:r>
        <w:rPr>
          <w:i/>
        </w:rPr>
        <w:t xml:space="preserve">at the moment of the act</w:t>
      </w:r>
      <w:r>
        <w:t xml:space="preserve"> is worth far more than one agreed months earlier. This is the agreement-level half of the same protection.</w:t>
      </w:r>
    </w:p>
    <w:p>
      <w:pPr>
        <w:pBdr>
          <w:bottom w:val="single" w:sz="6" w:color="CCCCCC"/>
        </w:pBdr>
      </w:pPr>
    </w:p>
    <w:p>
      <w:pPr>
        <w:pStyle w:val="Heading2"/>
      </w:pPr>
      <w:r>
        <w:t xml:space="preserve">☑ 3 · My number is mine</w:t>
      </w:r>
    </w:p>
    <w:p>
      <w:pPr>
        <w:pStyle w:val="Quote"/>
        <w:ind w:left="480"/>
      </w:pPr>
      <w:r>
        <w:t xml:space="preserve">I understand that my phone number remains mine. Service does not begin until the number has finished transferring to Booked Solid Inspector, and I can move it to another provider at any time by asking — we will release it within </w:t>
      </w:r>
      <w:r>
        <w:rPr>
          <w:b/>
        </w:rPr>
        <w:t xml:space="preserve">[NUMBER OF BUSINESS DAYS]</w:t>
      </w:r>
      <w:r>
        <w:t xml:space="preserve"> and will not hold it against an unpaid balance.</w:t>
      </w:r>
    </w:p>
    <w:p>
      <w:r>
        <w:rPr>
          <w:b/>
        </w:rPr>
        <w:t xml:space="preserve">Two separate jobs in one clause.</w:t>
      </w:r>
    </w:p>
    <w:p>
      <w:r>
        <w:t xml:space="preserve">The first sentence prevents a billing argument nobody caused: carriers reject ports routinely for clerical reasons — a name not matching their records exactly, a wrong account number, a PIN never set. Without it the clock starts at signature and runs through a rejection.</w:t>
      </w:r>
    </w:p>
    <w:p>
      <w:r>
        <w:t xml:space="preserve">The second is the counterweight, and it matters more than it looks:</w:t>
      </w:r>
    </w:p>
    <w:p>
      <w:pPr>
        <w:pStyle w:val="Quote"/>
        <w:ind w:left="480"/>
      </w:pPr>
      <w:r>
        <w:rPr>
          <w:i/>
        </w:rPr>
        <w:t xml:space="preserve">"Once a client ports his number in, it lives in our Telnyx account and he cannot un-port in an emergency — that takes days. So a clear port-out clause is not a courtesy, it is what makes the port-in reasonable. </w:t>
      </w:r>
      <w:r>
        <w:rPr>
          <w:i/>
        </w:rPr>
        <w:t xml:space="preserve">A vague port-out clause is the strongest single argument a client has for never porting in.</w:t>
      </w:r>
      <w:r>
        <w:rPr>
          <w:i/>
        </w:rPr>
        <w:t xml:space="preserve">"</w:t>
      </w:r>
    </w:p>
    <w:p>
      <w:r>
        <w:t xml:space="preserve">⚠️ </w:t>
      </w:r>
      <w:r>
        <w:rPr>
          <w:b/>
        </w:rPr>
        <w:t xml:space="preserve">`[NUMBER OF BUSINESS DAYS]` is yours to set.</w:t>
      </w:r>
      <w:r>
        <w:t xml:space="preserve"> How a port-out actually runs is documented in </w:t>
      </w:r>
      <w:r>
        <w:rPr>
          <w:rFonts w:ascii="Consolas" w:hAnsi="Consolas"/>
          <w:shd w:val="clear" w:fill="F2F5F6"/>
        </w:rPr>
        <w:t xml:space="preserve">resources/procedure-port-out.md</w:t>
      </w:r>
      <w:r>
        <w:t xml:space="preserve">. How fast we </w:t>
      </w:r>
      <w:r>
        <w:rPr>
          <w:i/>
        </w:rPr>
        <w:t xml:space="preserve">promise</w:t>
      </w:r>
      <w:r>
        <w:t xml:space="preserve"> to release is a commercial decision, not a technical fact, so I left it blank rather than guess.</w:t>
      </w:r>
    </w:p>
    <w:p>
      <w:pPr>
        <w:pBdr>
          <w:bottom w:val="single" w:sz="6" w:color="CCCCCC"/>
        </w:pBdr>
      </w:pPr>
    </w:p>
    <w:p>
      <w:pPr>
        <w:pStyle w:val="Heading2"/>
      </w:pPr>
      <w:r>
        <w:t xml:space="preserve">☑ 4 · Calls are recorded</w:t>
      </w:r>
    </w:p>
    <w:p>
      <w:pPr>
        <w:pStyle w:val="Quote"/>
        <w:ind w:left="480"/>
      </w:pPr>
      <w:r>
        <w:t xml:space="preserve">I understand that calls answered on my behalf are recorded and transcribed, that callers are told this at the start of every call, and that the recording and transcript are attached to the job record. Recordings are kept for </w:t>
      </w:r>
      <w:r>
        <w:rPr>
          <w:b/>
        </w:rPr>
        <w:t xml:space="preserve">[RETENTION PERIOD]</w:t>
      </w:r>
      <w:r>
        <w:t xml:space="preserve"> and are available to me and to Booked Solid Inspector staff supporting my account.</w:t>
      </w:r>
    </w:p>
    <w:p>
      <w:r>
        <w:rPr>
          <w:b/>
        </w:rPr>
        <w:t xml:space="preserve">This one was not on the board and I think it belongs in the agreement.</w:t>
      </w:r>
      <w:r>
        <w:t xml:space="preserve"> From the same reply:</w:t>
      </w:r>
    </w:p>
    <w:p>
      <w:pPr>
        <w:pStyle w:val="Quote"/>
        <w:ind w:left="480"/>
      </w:pPr>
      <w:r>
        <w:rPr>
          <w:i/>
        </w:rPr>
        <w:t xml:space="preserve">"Josh now tells every caller the call is recorded, and the E&amp;O application requires the recording and transcript attached to the job. That means sensitive customer audio in our systems, which is a data-breach exposure the policy has to cover and the MSA has to describe — retention period, who can access it, what happens to it when a client leaves."</w:t>
      </w:r>
    </w:p>
    <w:p>
      <w:r>
        <w:rPr>
          <w:b/>
        </w:rPr>
        <w:t xml:space="preserve">The recording notice is real and verified</w:t>
      </w:r>
      <w:r>
        <w:t xml:space="preserve"> — it opens 25 of the 28 calls reviewed today (the other three were cut off by the caller), and a test pins it.</w:t>
      </w:r>
    </w:p>
    <w:p>
      <w:r>
        <w:t xml:space="preserve">⚠️ </w:t>
      </w:r>
      <w:r>
        <w:rPr>
          <w:b/>
        </w:rPr>
        <w:t xml:space="preserve">`[RETENTION PERIOD]` is yours.</w:t>
      </w:r>
      <w:r>
        <w:t xml:space="preserve"> Telnyx keeps recordings 12 months; what </w:t>
      </w:r>
      <w:r>
        <w:rPr>
          <w:i/>
        </w:rPr>
        <w:t xml:space="preserve">we</w:t>
      </w:r>
      <w:r>
        <w:t xml:space="preserve"> promise a client is a different question.</w:t>
      </w:r>
    </w:p>
    <w:p>
      <w:r>
        <w:t xml:space="preserve">⚠️ </w:t>
      </w:r>
      <w:r>
        <w:rPr>
          <w:b/>
        </w:rPr>
        <w:t xml:space="preserve">And I have deliberately not said the two-party-consent question is answered.</w:t>
      </w:r>
      <w:r>
        <w:t xml:space="preserve"> Josh announcing the recording at the top of every call is the strong position, but whether that satisfies every state a client works in is for counsel — and it is already on the list for the LegalZoom lawyer alongside the AI-disclosure question. </w:t>
      </w:r>
      <w:r>
        <w:rPr>
          <w:b/>
        </w:rPr>
        <w:t xml:space="preserve">Do not let this clause imply it has been settled.</w:t>
      </w:r>
    </w:p>
    <w:p>
      <w:pPr>
        <w:pBdr>
          <w:bottom w:val="single" w:sz="6" w:color="CCCCCC"/>
        </w:pBdr>
      </w:pPr>
    </w:p>
    <w:p>
      <w:pPr>
        <w:pStyle w:val="Heading2"/>
      </w:pPr>
      <w:r>
        <w:t xml:space="preserve">What to send back</w:t>
      </w:r>
    </w:p>
    <w:p>
      <w:r>
        <w:t xml:space="preserve">Any of these is a complete answer:</w:t>
      </w:r>
    </w:p>
    <w:p>
      <w:pPr>
        <w:numPr>
          <w:ilvl w:val="0"/>
          <w:numId w:val="2"/>
        </w:numPr>
      </w:pPr>
      <w:r>
        <w:rPr>
          <w:b/>
        </w:rPr>
        <w:t xml:space="preserve">"Clause 3 is wrong, here is the right wording"</w:t>
      </w:r>
      <w:r>
        <w:t xml:space="preserve"> — I paste it in.</w:t>
      </w:r>
    </w:p>
    <w:p>
      <w:pPr>
        <w:numPr>
          <w:ilvl w:val="0"/>
          <w:numId w:val="2"/>
        </w:numPr>
      </w:pPr>
      <w:r>
        <w:rPr>
          <w:b/>
        </w:rPr>
        <w:t xml:space="preserve">"Drop clause 4"</w:t>
      </w:r>
      <w:r>
        <w:t xml:space="preserve"> — deleted.</w:t>
      </w:r>
    </w:p>
    <w:p>
      <w:pPr>
        <w:numPr>
          <w:ilvl w:val="0"/>
          <w:numId w:val="2"/>
        </w:numPr>
      </w:pPr>
      <w:r>
        <w:rPr>
          <w:b/>
        </w:rPr>
        <w:t xml:space="preserve">"Here is the real MSA, use these three"</w:t>
      </w:r>
      <w:r>
        <w:t xml:space="preserve"> — best outcome, and it takes the</w:t>
      </w:r>
    </w:p>
    <w:p>
      <w:r>
        <w:t xml:space="preserve">guesswork out entirely.</w:t>
      </w:r>
    </w:p>
    <w:p>
      <w:r>
        <w:t xml:space="preserve">⚠️ </w:t>
      </w:r>
      <w:r>
        <w:rPr>
          <w:b/>
        </w:rPr>
        <w:t xml:space="preserve">And there is a second thing you owe that is easy to miss.</w:t>
      </w:r>
      <w:r>
        <w:t xml:space="preserve"> Your own 11 August spec says:</w:t>
      </w:r>
    </w:p>
    <w:p>
      <w:pPr>
        <w:pStyle w:val="Quote"/>
        <w:ind w:left="480"/>
      </w:pPr>
      <w:r>
        <w:rPr>
          <w:i/>
        </w:rPr>
        <w:t xml:space="preserve">"A checkbox pointing at a 404 is worse than nothing — it proves the client couldn't have read it."</w:t>
      </w:r>
    </w:p>
    <w:p>
      <w:r>
        <w:rPr>
          <w:b/>
        </w:rPr>
        <w:t xml:space="preserve">Right now there is no MSA published anywhere.</w:t>
      </w:r>
      <w:r>
        <w:t xml:space="preserve"> </w:t>
      </w:r>
      <w:r>
        <w:rPr>
          <w:rFonts w:ascii="Consolas" w:hAnsi="Consolas"/>
          <w:shd w:val="clear" w:fill="F2F5F6"/>
        </w:rPr>
        <w:t xml:space="preserve">bookedsolidinspector.com/msa.html</w:t>
      </w:r>
      <w:r>
        <w:t xml:space="preserve"> returns the marketing homepage, which is exactly that case. So it is </w:t>
      </w:r>
      <w:r>
        <w:rPr>
          <w:b/>
        </w:rPr>
        <w:t xml:space="preserve">two things, not one</w:t>
      </w:r>
      <w:r>
        <w:t xml:space="preserve">: the clause wording, </w:t>
      </w:r>
      <w:r>
        <w:rPr>
          <w:b/>
        </w:rPr>
        <w:t xml:space="preserve">and</w:t>
      </w:r>
      <w:r>
        <w:t xml:space="preserve"> the agreement itself at a real URL for the boxes to link to. Send me the document and I will publish it.</w:t>
      </w:r>
    </w:p>
    <w:p>
      <w:pPr>
        <w:pBdr>
          <w:bottom w:val="single" w:sz="6" w:color="CCCCCC"/>
        </w:pBdr>
      </w:pPr>
    </w:p>
    <w:p>
      <w:pPr>
        <w:pStyle w:val="Heading2"/>
      </w:pPr>
      <w:r>
        <w:t xml:space="preserve">What happens when you approve it</w:t>
      </w:r>
    </w:p>
    <w:p>
      <w:r>
        <w:t xml:space="preserve">Three deliberate steps, so this cannot become live by accident:</w:t>
      </w:r>
    </w:p>
    <w:p>
      <w:pPr>
        <w:numPr>
          <w:ilvl w:val="0"/>
          <w:numId w:val="2"/>
        </w:numPr>
      </w:pPr>
      <w:r>
        <w:t xml:space="preserve">The approved text moves </w:t>
      </w:r>
      <w:r>
        <w:rPr>
          <w:b/>
        </w:rPr>
        <w:t xml:space="preserve">into</w:t>
      </w:r>
      <w:r>
        <w:t xml:space="preserve"> </w:t>
      </w:r>
      <w:r>
        <w:rPr>
          <w:rFonts w:ascii="Consolas" w:hAnsi="Consolas"/>
          <w:shd w:val="clear" w:fill="F2F5F6"/>
        </w:rPr>
        <w:t xml:space="preserve">MSA.clauses</w:t>
      </w:r>
      <w:r>
        <w:t xml:space="preserve"> — the array customers are</w:t>
      </w:r>
    </w:p>
    <w:p>
      <w:r>
        <w:t xml:space="preserve">actually bound by. The draft file is not it.</w:t>
      </w:r>
    </w:p>
    <w:p>
      <w:pPr>
        <w:numPr>
          <w:ilvl w:val="0"/>
          <w:numId w:val="2"/>
        </w:numPr>
      </w:pPr>
      <w:r>
        <w:rPr>
          <w:rFonts w:ascii="Consolas" w:hAnsi="Consolas"/>
          <w:shd w:val="clear" w:fill="F2F5F6"/>
        </w:rPr>
        <w:t xml:space="preserve">version</w:t>
      </w:r>
      <w:r>
        <w:t xml:space="preserve"> is set to that date.</w:t>
      </w:r>
    </w:p>
    <w:p>
      <w:pPr>
        <w:numPr>
          <w:ilvl w:val="0"/>
          <w:numId w:val="2"/>
        </w:numPr>
      </w:pPr>
      <w:r>
        <w:rPr>
          <w:rFonts w:ascii="Consolas" w:hAnsi="Consolas"/>
          <w:shd w:val="clear" w:fill="F2F5F6"/>
        </w:rPr>
        <w:t xml:space="preserve">MSA_DRAFT_PREVIEW</w:t>
      </w:r>
      <w:r>
        <w:t xml:space="preserve"> goes off and the guard test is deleted.</w:t>
      </w:r>
    </w:p>
    <w:p>
      <w:r>
        <w:t xml:space="preserve">Until all three happen, nothing binds anybody. </w:t>
      </w:r>
      <w:r>
        <w:rPr>
          <w:b/>
        </w:rPr>
        <w:t xml:space="preserve">Leaving the preview switch on is not shipping the agreement — it is leaving enrollment switched off.</w:t>
      </w:r>
    </w:p>
    <w:p>
      <w:pPr>
        <w:pBdr>
          <w:bottom w:val="single" w:sz="6" w:color="CCCCCC"/>
        </w:pBdr>
      </w:pPr>
    </w:p>
    <w:p>
      <w:r>
        <w:rPr>
          <w:i/>
        </w:rPr>
        <w:t xml:space="preserve">Code: `api/enroll/msa-draft.js` (the clauses), `api/enroll/acknowledgments.js` (the gate). Eight tests cover it, including one that fails if a draft is ever accepted and one that fails if somebody fills the real array without approval.</w:t>
      </w:r>
    </w:p>
    <w:sectPr>
      <w:pgSz w:w="12240" w:h="15840"/>
      <w:pgMar w:top="1440" w:right="1440" w:bottom="1440" w:left="144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pPr>
      <w:spacing w:after="140" w:line="276" w:lineRule="auto"/>
    </w:pPr>
  </w:style>
  <w:style w:type="paragraph" w:styleId="Heading1">
    <w:name w:val="Heading 1"/>
    <w:basedOn w:val="Normal"/>
    <w:pPr>
      <w:outlineLvl w:val="0"/>
      <w:spacing w:before="280" w:after="120"/>
    </w:pPr>
    <w:rPr>
      <w:b/>
      <w:color w:val="0D1B2A"/>
      <w:sz w:val="40"/>
    </w:rPr>
  </w:style>
  <w:style w:type="paragraph" w:styleId="Heading2">
    <w:name w:val="Heading 2"/>
    <w:basedOn w:val="Normal"/>
    <w:pPr>
      <w:outlineLvl w:val="1"/>
      <w:spacing w:before="240" w:after="120"/>
    </w:pPr>
    <w:rPr>
      <w:b/>
      <w:color w:val="0D1B2A"/>
      <w:sz w:val="30"/>
    </w:rPr>
  </w:style>
  <w:style w:type="paragraph" w:styleId="Heading3">
    <w:name w:val="Heading 3"/>
    <w:basedOn w:val="Normal"/>
    <w:pPr>
      <w:outlineLvl w:val="2"/>
      <w:spacing w:before="200" w:after="120"/>
    </w:pPr>
    <w:rPr>
      <w:b/>
      <w:color w:val="0D1B2A"/>
      <w:sz w:val="25"/>
    </w:rPr>
  </w:style>
  <w:style w:type="paragraph" w:styleId="Heading4">
    <w:name w:val="Heading 4"/>
    <w:basedOn w:val="Normal"/>
    <w:pPr>
      <w:outlineLvl w:val="3"/>
      <w:spacing w:before="160" w:after="120"/>
    </w:pPr>
    <w:rPr>
      <w:b/>
      <w:color w:val="0D1B2A"/>
      <w:sz w:val="23"/>
    </w:rPr>
  </w:style>
  <w:style w:type="paragraph" w:styleId="Quote">
    <w:name w:val="Quote"/>
    <w:basedOn w:val="Normal"/>
    <w:pPr>
      <w:pBdr>
        <w:left w:val="single" w:sz="18" w:color="1C8F7C"/>
      </w:pBdr>
    </w:pPr>
    <w:rPr>
      <w:i/>
      <w:color w:val="334455"/>
    </w:rPr>
  </w:style>
  <w:style w:type="paragraph" w:styleId="Code">
    <w:name w:val="Code"/>
    <w:basedOn w:val="Normal"/>
    <w:pPr>
      <w:spacing w:after="0"/>
      <w:shd w:val="clear" w:fill="F2F5F6"/>
    </w:pPr>
    <w:rPr>
      <w:rFonts w:ascii="Consolas" w:hAnsi="Consolas"/>
      <w:sz w:val="19"/>
    </w:rPr>
  </w:style>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